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58" w:rsidRPr="0073147F" w:rsidRDefault="00F35558" w:rsidP="00F35558">
      <w:pPr>
        <w:spacing w:after="0" w:line="360" w:lineRule="auto"/>
        <w:jc w:val="center"/>
        <w:rPr>
          <w:rFonts w:eastAsiaTheme="minorEastAsia"/>
          <w:b/>
          <w:sz w:val="28"/>
          <w:szCs w:val="28"/>
          <w:lang w:val="en-US" w:eastAsia="zh-CN"/>
        </w:rPr>
      </w:pPr>
      <w:r w:rsidRPr="0073147F">
        <w:rPr>
          <w:rFonts w:eastAsiaTheme="minorEastAsia"/>
          <w:b/>
          <w:sz w:val="28"/>
          <w:szCs w:val="28"/>
          <w:lang w:val="en-US" w:eastAsia="zh-CN"/>
        </w:rPr>
        <w:t xml:space="preserve">COMPLEX CORRECTION OF QUALITY OF LIFE </w:t>
      </w:r>
      <w:r>
        <w:rPr>
          <w:rFonts w:eastAsiaTheme="minorEastAsia"/>
          <w:b/>
          <w:sz w:val="28"/>
          <w:szCs w:val="28"/>
          <w:lang w:val="en-US" w:eastAsia="zh-CN"/>
        </w:rPr>
        <w:t xml:space="preserve">BY </w:t>
      </w:r>
      <w:r w:rsidRPr="0073147F">
        <w:rPr>
          <w:rFonts w:eastAsiaTheme="minorEastAsia"/>
          <w:b/>
          <w:bCs/>
          <w:sz w:val="28"/>
          <w:szCs w:val="28"/>
          <w:lang w:val="en-US" w:eastAsia="zh-CN"/>
        </w:rPr>
        <w:t>DYNAMIC ELECTRONEUROSTIMULATION</w:t>
      </w:r>
      <w:r>
        <w:rPr>
          <w:rFonts w:eastAsiaTheme="minorEastAsia"/>
          <w:b/>
          <w:sz w:val="28"/>
          <w:szCs w:val="28"/>
          <w:lang w:val="en-US" w:eastAsia="zh-CN"/>
        </w:rPr>
        <w:t xml:space="preserve"> IN</w:t>
      </w:r>
      <w:r w:rsidRPr="0073147F">
        <w:rPr>
          <w:rFonts w:eastAsiaTheme="minorEastAsia"/>
          <w:b/>
          <w:sz w:val="28"/>
          <w:szCs w:val="28"/>
          <w:lang w:val="en-US" w:eastAsia="zh-CN"/>
        </w:rPr>
        <w:t xml:space="preserve"> PATIENTS WITH </w:t>
      </w:r>
      <w:r>
        <w:rPr>
          <w:rFonts w:eastAsiaTheme="minorEastAsia"/>
          <w:b/>
          <w:sz w:val="28"/>
          <w:szCs w:val="28"/>
          <w:lang w:val="en-US" w:eastAsia="zh-CN"/>
        </w:rPr>
        <w:t>C</w:t>
      </w:r>
      <w:r w:rsidRPr="0073147F">
        <w:rPr>
          <w:rFonts w:eastAsiaTheme="minorEastAsia"/>
          <w:b/>
          <w:sz w:val="28"/>
          <w:szCs w:val="28"/>
          <w:lang w:val="en-US" w:eastAsia="zh-CN"/>
        </w:rPr>
        <w:t xml:space="preserve">HRONIC PANCREATITIS </w:t>
      </w:r>
    </w:p>
    <w:p w:rsidR="00F35558" w:rsidRPr="0073147F" w:rsidRDefault="00F35558" w:rsidP="00F35558">
      <w:pPr>
        <w:spacing w:after="0" w:line="360" w:lineRule="auto"/>
        <w:jc w:val="center"/>
        <w:rPr>
          <w:rFonts w:eastAsiaTheme="minorEastAsia"/>
          <w:sz w:val="28"/>
          <w:szCs w:val="28"/>
          <w:lang w:val="en-US" w:eastAsia="zh-CN"/>
        </w:rPr>
      </w:pPr>
      <w:r>
        <w:rPr>
          <w:sz w:val="28"/>
          <w:szCs w:val="28"/>
          <w:lang w:val="en-US"/>
        </w:rPr>
        <w:t>Y</w:t>
      </w:r>
      <w:r w:rsidRPr="0073147F">
        <w:rPr>
          <w:sz w:val="28"/>
          <w:szCs w:val="28"/>
          <w:lang w:val="en-US"/>
        </w:rPr>
        <w:t xml:space="preserve">. </w:t>
      </w:r>
      <w:r>
        <w:rPr>
          <w:sz w:val="28"/>
          <w:szCs w:val="28"/>
          <w:lang w:val="en-US"/>
        </w:rPr>
        <w:t>Y</w:t>
      </w:r>
      <w:r w:rsidRPr="0073147F">
        <w:rPr>
          <w:sz w:val="28"/>
          <w:szCs w:val="28"/>
          <w:lang w:val="en-US"/>
        </w:rPr>
        <w:t xml:space="preserve">. </w:t>
      </w:r>
      <w:proofErr w:type="spellStart"/>
      <w:r w:rsidRPr="00396D6B">
        <w:rPr>
          <w:sz w:val="28"/>
          <w:szCs w:val="28"/>
          <w:lang w:val="en-US"/>
        </w:rPr>
        <w:t>Kotsaba</w:t>
      </w:r>
      <w:proofErr w:type="spellEnd"/>
      <w:r w:rsidRPr="0073147F">
        <w:rPr>
          <w:rFonts w:eastAsiaTheme="minorEastAsia"/>
          <w:sz w:val="28"/>
          <w:szCs w:val="28"/>
          <w:lang w:val="en-US" w:eastAsia="zh-CN"/>
        </w:rPr>
        <w:t xml:space="preserve">, </w:t>
      </w:r>
      <w:r w:rsidRPr="00396D6B">
        <w:rPr>
          <w:sz w:val="28"/>
          <w:szCs w:val="28"/>
          <w:lang w:val="en-US"/>
        </w:rPr>
        <w:t>L</w:t>
      </w:r>
      <w:r>
        <w:rPr>
          <w:sz w:val="28"/>
          <w:szCs w:val="28"/>
          <w:lang w:val="en-US"/>
        </w:rPr>
        <w:t xml:space="preserve">. </w:t>
      </w:r>
      <w:r w:rsidRPr="00396D6B">
        <w:rPr>
          <w:sz w:val="28"/>
          <w:szCs w:val="28"/>
          <w:lang w:val="en-US"/>
        </w:rPr>
        <w:t>S</w:t>
      </w:r>
      <w:r>
        <w:rPr>
          <w:sz w:val="28"/>
          <w:szCs w:val="28"/>
          <w:lang w:val="en-US"/>
        </w:rPr>
        <w:t xml:space="preserve">. </w:t>
      </w:r>
      <w:proofErr w:type="spellStart"/>
      <w:r>
        <w:rPr>
          <w:sz w:val="28"/>
          <w:szCs w:val="28"/>
          <w:lang w:val="en-US"/>
        </w:rPr>
        <w:t>Babinets</w:t>
      </w:r>
      <w:proofErr w:type="spellEnd"/>
    </w:p>
    <w:p w:rsidR="00F35558" w:rsidRPr="0073147F" w:rsidRDefault="00F35558" w:rsidP="00F35558">
      <w:pPr>
        <w:spacing w:after="0" w:line="360" w:lineRule="auto"/>
        <w:jc w:val="center"/>
        <w:rPr>
          <w:rFonts w:eastAsiaTheme="minorEastAsia"/>
          <w:i/>
          <w:sz w:val="28"/>
          <w:szCs w:val="28"/>
          <w:lang w:val="en-US" w:eastAsia="zh-CN"/>
        </w:rPr>
      </w:pPr>
      <w:proofErr w:type="spellStart"/>
      <w:r w:rsidRPr="0073147F">
        <w:rPr>
          <w:rFonts w:eastAsiaTheme="minorEastAsia"/>
          <w:i/>
          <w:sz w:val="28"/>
          <w:szCs w:val="28"/>
          <w:lang w:val="en-US" w:eastAsia="zh-CN"/>
        </w:rPr>
        <w:t>Ternopil</w:t>
      </w:r>
      <w:proofErr w:type="spellEnd"/>
      <w:r w:rsidRPr="0073147F">
        <w:rPr>
          <w:rFonts w:eastAsiaTheme="minorEastAsia"/>
          <w:i/>
          <w:sz w:val="28"/>
          <w:szCs w:val="28"/>
          <w:lang w:val="en-US" w:eastAsia="zh-CN"/>
        </w:rPr>
        <w:t xml:space="preserve"> State Medical University n. a. I. Y. </w:t>
      </w:r>
      <w:proofErr w:type="spellStart"/>
      <w:r w:rsidRPr="0073147F">
        <w:rPr>
          <w:rFonts w:eastAsiaTheme="minorEastAsia"/>
          <w:i/>
          <w:sz w:val="28"/>
          <w:szCs w:val="28"/>
          <w:lang w:val="en-US" w:eastAsia="zh-CN"/>
        </w:rPr>
        <w:t>Horbachevsky</w:t>
      </w:r>
      <w:proofErr w:type="spellEnd"/>
      <w:r w:rsidRPr="0073147F">
        <w:rPr>
          <w:rFonts w:eastAsiaTheme="minorEastAsia"/>
          <w:i/>
          <w:sz w:val="28"/>
          <w:szCs w:val="28"/>
          <w:lang w:val="en-US" w:eastAsia="zh-CN"/>
        </w:rPr>
        <w:t>, Ukraine</w:t>
      </w:r>
    </w:p>
    <w:p w:rsidR="00F35558" w:rsidRPr="0073147F" w:rsidRDefault="00F35558" w:rsidP="00F35558">
      <w:pPr>
        <w:spacing w:after="0" w:line="360" w:lineRule="auto"/>
        <w:jc w:val="center"/>
        <w:rPr>
          <w:rFonts w:eastAsiaTheme="minorEastAsia"/>
          <w:i/>
          <w:sz w:val="28"/>
          <w:szCs w:val="28"/>
          <w:lang w:val="en-US" w:eastAsia="zh-CN"/>
        </w:rPr>
      </w:pPr>
    </w:p>
    <w:p w:rsidR="004D2B00" w:rsidRPr="003970A2" w:rsidRDefault="00F35558" w:rsidP="00F35558">
      <w:pPr>
        <w:spacing w:after="0" w:line="360" w:lineRule="auto"/>
        <w:ind w:firstLine="709"/>
        <w:jc w:val="both"/>
        <w:rPr>
          <w:rFonts w:eastAsiaTheme="minorEastAsia"/>
          <w:bCs/>
          <w:sz w:val="28"/>
          <w:szCs w:val="28"/>
          <w:lang w:val="uk-UA" w:eastAsia="zh-CN"/>
        </w:rPr>
      </w:pPr>
      <w:r w:rsidRPr="003970A2">
        <w:rPr>
          <w:rFonts w:eastAsiaTheme="minorEastAsia"/>
          <w:b/>
          <w:sz w:val="28"/>
          <w:szCs w:val="28"/>
          <w:lang w:val="en-US" w:eastAsia="zh-CN"/>
        </w:rPr>
        <w:t>Key words:</w:t>
      </w:r>
      <w:r w:rsidRPr="003970A2">
        <w:rPr>
          <w:rFonts w:eastAsiaTheme="minorEastAsia"/>
          <w:sz w:val="28"/>
          <w:szCs w:val="28"/>
          <w:lang w:val="en-US" w:eastAsia="zh-CN"/>
        </w:rPr>
        <w:t xml:space="preserve"> </w:t>
      </w:r>
      <w:r w:rsidRPr="003970A2">
        <w:rPr>
          <w:rFonts w:eastAsiaTheme="minorEastAsia"/>
          <w:bCs/>
          <w:sz w:val="28"/>
          <w:szCs w:val="28"/>
          <w:lang w:val="en-US" w:eastAsia="zh-CN"/>
        </w:rPr>
        <w:t xml:space="preserve">chronic pancreatitis, quality of life, dynamic </w:t>
      </w:r>
      <w:proofErr w:type="spellStart"/>
      <w:r w:rsidRPr="003970A2">
        <w:rPr>
          <w:rFonts w:eastAsiaTheme="minorEastAsia"/>
          <w:bCs/>
          <w:sz w:val="28"/>
          <w:szCs w:val="28"/>
          <w:lang w:val="en-US" w:eastAsia="zh-CN"/>
        </w:rPr>
        <w:t>electroneurostimulation</w:t>
      </w:r>
      <w:proofErr w:type="spellEnd"/>
      <w:r w:rsidRPr="003970A2">
        <w:rPr>
          <w:rFonts w:eastAsiaTheme="minorEastAsia"/>
          <w:bCs/>
          <w:sz w:val="28"/>
          <w:szCs w:val="28"/>
          <w:lang w:val="en-US" w:eastAsia="zh-CN"/>
        </w:rPr>
        <w:t>, DENS-therapy, acupuncture</w:t>
      </w:r>
    </w:p>
    <w:p w:rsidR="00F35558" w:rsidRPr="00F35558" w:rsidRDefault="00F35558" w:rsidP="004D2B00">
      <w:pPr>
        <w:spacing w:after="0" w:line="360" w:lineRule="auto"/>
        <w:ind w:firstLine="709"/>
        <w:jc w:val="both"/>
        <w:rPr>
          <w:rFonts w:eastAsiaTheme="minorEastAsia"/>
          <w:bCs/>
          <w:sz w:val="28"/>
          <w:szCs w:val="28"/>
          <w:lang w:val="en-US" w:eastAsia="zh-CN"/>
        </w:rPr>
      </w:pPr>
      <w:proofErr w:type="gramStart"/>
      <w:r w:rsidRPr="00F35558">
        <w:rPr>
          <w:rFonts w:eastAsiaTheme="minorEastAsia"/>
          <w:b/>
          <w:bCs/>
          <w:sz w:val="28"/>
          <w:szCs w:val="28"/>
          <w:lang w:val="en-US" w:eastAsia="zh-CN"/>
        </w:rPr>
        <w:t>Introduction.</w:t>
      </w:r>
      <w:proofErr w:type="gramEnd"/>
      <w:r w:rsidRPr="00F35558">
        <w:rPr>
          <w:rFonts w:eastAsiaTheme="minorEastAsia"/>
          <w:bCs/>
          <w:sz w:val="28"/>
          <w:szCs w:val="28"/>
          <w:lang w:val="en-US" w:eastAsia="zh-CN"/>
        </w:rPr>
        <w:t xml:space="preserve"> Chronic pancreatitis (CP) </w:t>
      </w:r>
      <w:r>
        <w:rPr>
          <w:rFonts w:eastAsiaTheme="minorEastAsia"/>
          <w:bCs/>
          <w:sz w:val="28"/>
          <w:szCs w:val="28"/>
          <w:lang w:val="en-US" w:eastAsia="zh-CN"/>
        </w:rPr>
        <w:t>is an</w:t>
      </w:r>
      <w:r w:rsidRPr="00F35558">
        <w:rPr>
          <w:rFonts w:eastAsiaTheme="minorEastAsia"/>
          <w:bCs/>
          <w:sz w:val="28"/>
          <w:szCs w:val="28"/>
          <w:lang w:val="en-US" w:eastAsia="zh-CN"/>
        </w:rPr>
        <w:t xml:space="preserve"> inflammation of the pancreas characterized by destruction of its basic anatomic structures, development of manifestations of functional insufficiency which remain and progress even after termination of influence of causal factors. In the initial stage of the disease the pathological process may be limited and not spread on the entire gland, but in the late stage it becomes diffuse with the involvement of the entire organ. </w:t>
      </w:r>
      <w:proofErr w:type="gramStart"/>
      <w:r w:rsidRPr="00F35558">
        <w:rPr>
          <w:rFonts w:eastAsiaTheme="minorEastAsia"/>
          <w:bCs/>
          <w:sz w:val="28"/>
          <w:szCs w:val="28"/>
          <w:lang w:val="en-US" w:eastAsia="zh-CN"/>
        </w:rPr>
        <w:t>As the disease progresses, the severity of sclerotic changes increases.</w:t>
      </w:r>
      <w:proofErr w:type="gramEnd"/>
      <w:r w:rsidRPr="00F35558">
        <w:rPr>
          <w:rFonts w:eastAsiaTheme="minorEastAsia"/>
          <w:bCs/>
          <w:sz w:val="28"/>
          <w:szCs w:val="28"/>
          <w:lang w:val="en-US" w:eastAsia="zh-CN"/>
        </w:rPr>
        <w:t xml:space="preserve"> Sclerosis of pancreas with or without calcification is a final of CP and does not depend on the etiology of this disease. These changes are accompanied by appropriate symptoms: pain, dyspepsia disorders, exocrine and endocrine insufficiency, concomitant lesion of other organs of the digestive system [1,</w:t>
      </w:r>
      <w:r>
        <w:rPr>
          <w:rFonts w:eastAsiaTheme="minorEastAsia"/>
          <w:bCs/>
          <w:sz w:val="28"/>
          <w:szCs w:val="28"/>
          <w:lang w:val="en-US" w:eastAsia="zh-CN"/>
        </w:rPr>
        <w:t xml:space="preserve"> </w:t>
      </w:r>
      <w:r w:rsidRPr="00F35558">
        <w:rPr>
          <w:rFonts w:eastAsiaTheme="minorEastAsia"/>
          <w:bCs/>
          <w:sz w:val="28"/>
          <w:szCs w:val="28"/>
          <w:lang w:val="en-US" w:eastAsia="zh-CN"/>
        </w:rPr>
        <w:t>6].</w:t>
      </w:r>
    </w:p>
    <w:p w:rsidR="00F35558" w:rsidRPr="00F35558" w:rsidRDefault="00F35558" w:rsidP="004D2B00">
      <w:pPr>
        <w:spacing w:after="0" w:line="360" w:lineRule="auto"/>
        <w:ind w:firstLine="709"/>
        <w:jc w:val="both"/>
        <w:rPr>
          <w:rFonts w:eastAsiaTheme="minorEastAsia"/>
          <w:bCs/>
          <w:sz w:val="28"/>
          <w:szCs w:val="28"/>
          <w:lang w:val="en-US" w:eastAsia="zh-CN"/>
        </w:rPr>
      </w:pPr>
      <w:r w:rsidRPr="00330CE3">
        <w:rPr>
          <w:color w:val="000000"/>
          <w:sz w:val="28"/>
          <w:szCs w:val="28"/>
          <w:lang w:val="en-US"/>
        </w:rPr>
        <w:t>Correction of clinical symptoms of CP</w:t>
      </w:r>
      <w:r w:rsidRPr="00330CE3">
        <w:rPr>
          <w:sz w:val="28"/>
          <w:szCs w:val="28"/>
          <w:lang w:val="en-US"/>
        </w:rPr>
        <w:t xml:space="preserve"> is made by the way of</w:t>
      </w:r>
      <w:r w:rsidRPr="00330CE3">
        <w:rPr>
          <w:color w:val="000000"/>
          <w:sz w:val="28"/>
          <w:szCs w:val="28"/>
          <w:lang w:val="en-US"/>
        </w:rPr>
        <w:t xml:space="preserve"> long and often vital compliance with the recommendations of rational nutrition, healthy lifestyle (complete rejection of alcohol and tobacco consumption), also by the prescribing of medicaments, physical exercises and </w:t>
      </w:r>
      <w:r w:rsidRPr="00330CE3">
        <w:rPr>
          <w:sz w:val="28"/>
          <w:szCs w:val="28"/>
          <w:lang w:val="en-US"/>
        </w:rPr>
        <w:t xml:space="preserve">in the case of necessity </w:t>
      </w:r>
      <w:r>
        <w:rPr>
          <w:color w:val="000000"/>
          <w:sz w:val="28"/>
          <w:szCs w:val="28"/>
          <w:lang w:val="en-US"/>
        </w:rPr>
        <w:t>―</w:t>
      </w:r>
      <w:r w:rsidRPr="00330CE3">
        <w:rPr>
          <w:color w:val="000000"/>
          <w:sz w:val="28"/>
          <w:szCs w:val="28"/>
          <w:lang w:val="en-US"/>
        </w:rPr>
        <w:t xml:space="preserve"> the use of surgical methods of treatment.</w:t>
      </w:r>
      <w:r>
        <w:rPr>
          <w:color w:val="000000"/>
          <w:sz w:val="28"/>
          <w:szCs w:val="28"/>
          <w:lang w:val="en-US"/>
        </w:rPr>
        <w:t xml:space="preserve"> </w:t>
      </w:r>
      <w:r w:rsidRPr="00330CE3">
        <w:rPr>
          <w:color w:val="000000"/>
          <w:sz w:val="28"/>
          <w:szCs w:val="28"/>
          <w:lang w:val="en-US"/>
        </w:rPr>
        <w:t xml:space="preserve">These changes cause discomfort and force patients with CP to change their lifestyle that often </w:t>
      </w:r>
      <w:r w:rsidRPr="00330CE3">
        <w:rPr>
          <w:sz w:val="28"/>
          <w:szCs w:val="28"/>
          <w:lang w:val="en-US"/>
        </w:rPr>
        <w:t>deteriorate</w:t>
      </w:r>
      <w:r w:rsidRPr="00330CE3">
        <w:rPr>
          <w:color w:val="000000"/>
          <w:sz w:val="28"/>
          <w:szCs w:val="28"/>
          <w:lang w:val="en-US"/>
        </w:rPr>
        <w:t xml:space="preserve"> its quality. That makes physicians and patients to search others alternative methods of correction of changes, which are caused by CP [1].</w:t>
      </w:r>
    </w:p>
    <w:p w:rsidR="00F35558" w:rsidRPr="00F35558" w:rsidRDefault="00F35558" w:rsidP="004D2B00">
      <w:pPr>
        <w:spacing w:after="0" w:line="360" w:lineRule="auto"/>
        <w:ind w:firstLine="709"/>
        <w:jc w:val="both"/>
        <w:rPr>
          <w:rFonts w:eastAsiaTheme="minorEastAsia"/>
          <w:bCs/>
          <w:sz w:val="28"/>
          <w:szCs w:val="28"/>
          <w:lang w:val="en-US" w:eastAsia="zh-CN"/>
        </w:rPr>
      </w:pPr>
      <w:proofErr w:type="gramStart"/>
      <w:r w:rsidRPr="00330CE3">
        <w:rPr>
          <w:color w:val="000000"/>
          <w:sz w:val="28"/>
          <w:szCs w:val="28"/>
          <w:lang w:val="en-US"/>
        </w:rPr>
        <w:t xml:space="preserve">DENS (dynamic </w:t>
      </w:r>
      <w:proofErr w:type="spellStart"/>
      <w:r w:rsidRPr="00330CE3">
        <w:rPr>
          <w:color w:val="000000"/>
          <w:sz w:val="28"/>
          <w:szCs w:val="28"/>
          <w:lang w:val="en-US"/>
        </w:rPr>
        <w:t>electroneurostimulation</w:t>
      </w:r>
      <w:proofErr w:type="spellEnd"/>
      <w:r w:rsidRPr="00330CE3">
        <w:rPr>
          <w:color w:val="000000"/>
          <w:sz w:val="28"/>
          <w:szCs w:val="28"/>
          <w:lang w:val="en-US"/>
        </w:rPr>
        <w:t xml:space="preserve">) </w:t>
      </w:r>
      <w:r>
        <w:rPr>
          <w:color w:val="000000"/>
          <w:sz w:val="28"/>
          <w:szCs w:val="28"/>
          <w:lang w:val="en-US"/>
        </w:rPr>
        <w:t>is</w:t>
      </w:r>
      <w:proofErr w:type="gramEnd"/>
      <w:r>
        <w:rPr>
          <w:color w:val="000000"/>
          <w:sz w:val="28"/>
          <w:szCs w:val="28"/>
          <w:lang w:val="en-US"/>
        </w:rPr>
        <w:t xml:space="preserve"> a</w:t>
      </w:r>
      <w:r w:rsidRPr="00330CE3">
        <w:rPr>
          <w:color w:val="000000"/>
          <w:sz w:val="28"/>
          <w:szCs w:val="28"/>
          <w:lang w:val="en-US"/>
        </w:rPr>
        <w:t xml:space="preserve"> method of non-medical treatment which is based on the influence on the active reflex zones and points of human body</w:t>
      </w:r>
      <w:r w:rsidRPr="00330CE3">
        <w:rPr>
          <w:sz w:val="28"/>
          <w:szCs w:val="28"/>
          <w:lang w:val="en-US"/>
        </w:rPr>
        <w:t xml:space="preserve"> by the use of</w:t>
      </w:r>
      <w:r w:rsidRPr="00330CE3">
        <w:rPr>
          <w:color w:val="000000"/>
          <w:sz w:val="28"/>
          <w:szCs w:val="28"/>
          <w:lang w:val="en-US"/>
        </w:rPr>
        <w:t xml:space="preserve"> dynamic pulses of electric current. </w:t>
      </w:r>
      <w:r w:rsidRPr="00330CE3">
        <w:rPr>
          <w:sz w:val="28"/>
          <w:szCs w:val="28"/>
          <w:lang w:val="en-US"/>
        </w:rPr>
        <w:t xml:space="preserve">The shape of these </w:t>
      </w:r>
      <w:r w:rsidRPr="00330CE3">
        <w:rPr>
          <w:sz w:val="28"/>
          <w:szCs w:val="28"/>
          <w:lang w:val="en-US"/>
        </w:rPr>
        <w:lastRenderedPageBreak/>
        <w:t xml:space="preserve">pulses constantly </w:t>
      </w:r>
      <w:r w:rsidRPr="00330CE3">
        <w:rPr>
          <w:color w:val="000000"/>
          <w:sz w:val="28"/>
          <w:szCs w:val="28"/>
          <w:lang w:val="en-US"/>
        </w:rPr>
        <w:t>changes and depends on the electrical resistance of the skin</w:t>
      </w:r>
      <w:r w:rsidRPr="00330CE3">
        <w:rPr>
          <w:sz w:val="28"/>
          <w:szCs w:val="28"/>
          <w:lang w:val="en-US"/>
        </w:rPr>
        <w:t xml:space="preserve"> which is situated under ele</w:t>
      </w:r>
      <w:r w:rsidR="00013E06">
        <w:rPr>
          <w:sz w:val="28"/>
          <w:szCs w:val="28"/>
          <w:lang w:val="en-US"/>
        </w:rPr>
        <w:t>c</w:t>
      </w:r>
      <w:r w:rsidRPr="00330CE3">
        <w:rPr>
          <w:sz w:val="28"/>
          <w:szCs w:val="28"/>
          <w:lang w:val="en-US"/>
        </w:rPr>
        <w:t>trode</w:t>
      </w:r>
      <w:r w:rsidRPr="00330CE3">
        <w:rPr>
          <w:color w:val="000000"/>
          <w:sz w:val="28"/>
          <w:szCs w:val="28"/>
          <w:lang w:val="en-US"/>
        </w:rPr>
        <w:t>. The positive effect is not only presented by termination of pain, but also by the influence on the reason of disease [4, 5].</w:t>
      </w:r>
    </w:p>
    <w:p w:rsidR="00013E06" w:rsidRPr="00013E06" w:rsidRDefault="00013E06" w:rsidP="004D2B00">
      <w:pPr>
        <w:spacing w:after="0" w:line="360" w:lineRule="auto"/>
        <w:ind w:firstLine="709"/>
        <w:jc w:val="both"/>
        <w:rPr>
          <w:rFonts w:eastAsiaTheme="minorEastAsia"/>
          <w:bCs/>
          <w:iCs/>
          <w:sz w:val="28"/>
          <w:szCs w:val="28"/>
          <w:lang w:val="en-US" w:eastAsia="zh-CN"/>
        </w:rPr>
      </w:pPr>
      <w:r>
        <w:rPr>
          <w:rFonts w:eastAsiaTheme="minorEastAsia"/>
          <w:b/>
          <w:bCs/>
          <w:sz w:val="28"/>
          <w:szCs w:val="28"/>
          <w:lang w:val="en-US" w:eastAsia="zh-CN"/>
        </w:rPr>
        <w:t>Aim of research</w:t>
      </w:r>
      <w:r w:rsidR="00EF0E46">
        <w:rPr>
          <w:rFonts w:eastAsiaTheme="minorEastAsia"/>
          <w:bCs/>
          <w:sz w:val="28"/>
          <w:szCs w:val="28"/>
          <w:lang w:val="uk-UA" w:eastAsia="zh-CN"/>
        </w:rPr>
        <w:t xml:space="preserve"> </w:t>
      </w:r>
      <w:r>
        <w:rPr>
          <w:color w:val="000000"/>
          <w:sz w:val="28"/>
          <w:szCs w:val="28"/>
          <w:lang w:val="en-US"/>
        </w:rPr>
        <w:t xml:space="preserve">is </w:t>
      </w:r>
      <w:r w:rsidRPr="00330CE3">
        <w:rPr>
          <w:color w:val="000000"/>
          <w:sz w:val="28"/>
          <w:szCs w:val="28"/>
          <w:lang w:val="en-US"/>
        </w:rPr>
        <w:t xml:space="preserve">to execute a comparative analysis of dynamics of the indicators of life quality (LQ), clinical manifestations in patients with CP and with concomitant colon </w:t>
      </w:r>
      <w:proofErr w:type="spellStart"/>
      <w:r w:rsidRPr="00330CE3">
        <w:rPr>
          <w:color w:val="000000"/>
          <w:sz w:val="28"/>
          <w:szCs w:val="28"/>
          <w:lang w:val="en-US"/>
        </w:rPr>
        <w:t>dysbiosis</w:t>
      </w:r>
      <w:proofErr w:type="spellEnd"/>
      <w:r w:rsidRPr="00330CE3">
        <w:rPr>
          <w:color w:val="000000"/>
          <w:sz w:val="28"/>
          <w:szCs w:val="28"/>
          <w:lang w:val="en-US"/>
        </w:rPr>
        <w:t xml:space="preserve"> (CD) under the influence of the complex schemes </w:t>
      </w:r>
      <w:proofErr w:type="gramStart"/>
      <w:r w:rsidRPr="00330CE3">
        <w:rPr>
          <w:color w:val="000000"/>
          <w:sz w:val="28"/>
          <w:szCs w:val="28"/>
          <w:lang w:val="en-US"/>
        </w:rPr>
        <w:t>of  treatment</w:t>
      </w:r>
      <w:proofErr w:type="gramEnd"/>
      <w:r w:rsidRPr="00330CE3">
        <w:rPr>
          <w:color w:val="000000"/>
          <w:sz w:val="28"/>
          <w:szCs w:val="28"/>
          <w:lang w:val="en-US"/>
        </w:rPr>
        <w:t xml:space="preserve"> and rehabilitation with the inclusion of </w:t>
      </w:r>
      <w:proofErr w:type="spellStart"/>
      <w:r w:rsidRPr="00330CE3">
        <w:rPr>
          <w:color w:val="000000"/>
          <w:sz w:val="28"/>
          <w:szCs w:val="28"/>
          <w:lang w:val="en-US"/>
        </w:rPr>
        <w:t>synbiotics</w:t>
      </w:r>
      <w:proofErr w:type="spellEnd"/>
      <w:r w:rsidRPr="00330CE3">
        <w:rPr>
          <w:color w:val="000000"/>
          <w:sz w:val="28"/>
          <w:szCs w:val="28"/>
          <w:lang w:val="en-US"/>
        </w:rPr>
        <w:t xml:space="preserve"> and a course of DENS-therapy which influences on biologically active zones and acupuncture points of the body</w:t>
      </w:r>
      <w:r w:rsidR="005457A5">
        <w:rPr>
          <w:color w:val="000000"/>
          <w:sz w:val="28"/>
          <w:szCs w:val="28"/>
          <w:lang w:val="en-US"/>
        </w:rPr>
        <w:t>.</w:t>
      </w:r>
    </w:p>
    <w:p w:rsidR="005457A5" w:rsidRPr="005457A5" w:rsidRDefault="005457A5" w:rsidP="005457A5">
      <w:pPr>
        <w:spacing w:after="0" w:line="360" w:lineRule="auto"/>
        <w:ind w:firstLine="709"/>
        <w:jc w:val="both"/>
        <w:rPr>
          <w:rFonts w:eastAsiaTheme="minorEastAsia"/>
          <w:bCs/>
          <w:sz w:val="28"/>
          <w:szCs w:val="28"/>
          <w:lang w:val="uk-UA" w:eastAsia="zh-CN"/>
        </w:rPr>
      </w:pPr>
      <w:proofErr w:type="gramStart"/>
      <w:r>
        <w:rPr>
          <w:rFonts w:eastAsiaTheme="minorEastAsia"/>
          <w:b/>
          <w:bCs/>
          <w:sz w:val="28"/>
          <w:szCs w:val="28"/>
          <w:lang w:val="en-US" w:eastAsia="zh-CN"/>
        </w:rPr>
        <w:t>Subject and methods</w:t>
      </w:r>
      <w:r w:rsidR="004D2B00" w:rsidRPr="004D2B00">
        <w:rPr>
          <w:rFonts w:eastAsiaTheme="minorEastAsia"/>
          <w:b/>
          <w:bCs/>
          <w:sz w:val="28"/>
          <w:szCs w:val="28"/>
          <w:lang w:val="uk-UA" w:eastAsia="zh-CN"/>
        </w:rPr>
        <w:t>.</w:t>
      </w:r>
      <w:proofErr w:type="gramEnd"/>
      <w:r w:rsidR="004D2B00" w:rsidRPr="004D2B00">
        <w:rPr>
          <w:rFonts w:eastAsiaTheme="minorEastAsia"/>
          <w:b/>
          <w:bCs/>
          <w:sz w:val="28"/>
          <w:szCs w:val="28"/>
          <w:lang w:val="uk-UA" w:eastAsia="zh-CN"/>
        </w:rPr>
        <w:t xml:space="preserve"> </w:t>
      </w:r>
      <w:r w:rsidRPr="005457A5">
        <w:rPr>
          <w:rFonts w:eastAsiaTheme="minorEastAsia"/>
          <w:bCs/>
          <w:sz w:val="28"/>
          <w:szCs w:val="28"/>
          <w:lang w:val="en-US" w:eastAsia="zh-CN"/>
        </w:rPr>
        <w:t>45 patients with CP and concomitant CD in the phase of remission in age of 18 to 75 years old</w:t>
      </w:r>
      <w:r w:rsidRPr="005457A5">
        <w:rPr>
          <w:rFonts w:eastAsiaTheme="minorEastAsia"/>
          <w:bCs/>
          <w:sz w:val="28"/>
          <w:szCs w:val="28"/>
          <w:lang w:val="uk-UA" w:eastAsia="zh-CN"/>
        </w:rPr>
        <w:t xml:space="preserve"> </w:t>
      </w:r>
      <w:r w:rsidRPr="005457A5">
        <w:rPr>
          <w:rFonts w:eastAsiaTheme="minorEastAsia"/>
          <w:bCs/>
          <w:sz w:val="28"/>
          <w:szCs w:val="28"/>
          <w:lang w:val="en-US" w:eastAsia="zh-CN"/>
        </w:rPr>
        <w:t>(23 women and 22 men)</w:t>
      </w:r>
      <w:r>
        <w:rPr>
          <w:rFonts w:eastAsiaTheme="minorEastAsia"/>
          <w:bCs/>
          <w:sz w:val="28"/>
          <w:szCs w:val="28"/>
          <w:lang w:val="en-US" w:eastAsia="zh-CN"/>
        </w:rPr>
        <w:t xml:space="preserve"> were t</w:t>
      </w:r>
      <w:r w:rsidRPr="005457A5">
        <w:rPr>
          <w:rFonts w:eastAsiaTheme="minorEastAsia"/>
          <w:bCs/>
          <w:sz w:val="28"/>
          <w:szCs w:val="28"/>
          <w:lang w:val="en-US" w:eastAsia="zh-CN"/>
        </w:rPr>
        <w:t>he subject of research.</w:t>
      </w:r>
    </w:p>
    <w:p w:rsidR="005457A5" w:rsidRPr="005457A5" w:rsidRDefault="005457A5" w:rsidP="005457A5">
      <w:pPr>
        <w:spacing w:after="0" w:line="360" w:lineRule="auto"/>
        <w:ind w:firstLine="709"/>
        <w:jc w:val="both"/>
        <w:rPr>
          <w:rFonts w:eastAsiaTheme="minorEastAsia"/>
          <w:bCs/>
          <w:sz w:val="28"/>
          <w:szCs w:val="28"/>
          <w:lang w:val="en-US" w:eastAsia="zh-CN"/>
        </w:rPr>
      </w:pPr>
      <w:r w:rsidRPr="005457A5">
        <w:rPr>
          <w:rFonts w:eastAsiaTheme="minorEastAsia"/>
          <w:bCs/>
          <w:sz w:val="28"/>
          <w:szCs w:val="28"/>
          <w:lang w:val="en-US" w:eastAsia="zh-CN"/>
        </w:rPr>
        <w:t xml:space="preserve">Verification of the diagnosis was carried out in accordance to the working classification of CP which is proposed </w:t>
      </w:r>
      <w:r>
        <w:rPr>
          <w:rFonts w:eastAsiaTheme="minorEastAsia"/>
          <w:bCs/>
          <w:sz w:val="28"/>
          <w:szCs w:val="28"/>
          <w:lang w:val="en-US" w:eastAsia="zh-CN"/>
        </w:rPr>
        <w:t>by Y</w:t>
      </w:r>
      <w:r w:rsidRPr="005457A5">
        <w:rPr>
          <w:rFonts w:eastAsiaTheme="minorEastAsia"/>
          <w:bCs/>
          <w:sz w:val="28"/>
          <w:szCs w:val="28"/>
          <w:lang w:val="en-US" w:eastAsia="zh-CN"/>
        </w:rPr>
        <w:t xml:space="preserve">.S. Zimmerman with additions of N.B. </w:t>
      </w:r>
      <w:proofErr w:type="spellStart"/>
      <w:r w:rsidRPr="005457A5">
        <w:rPr>
          <w:rFonts w:eastAsiaTheme="minorEastAsia"/>
          <w:bCs/>
          <w:sz w:val="28"/>
          <w:szCs w:val="28"/>
          <w:lang w:val="en-US" w:eastAsia="zh-CN"/>
        </w:rPr>
        <w:t>Gubergrits</w:t>
      </w:r>
      <w:proofErr w:type="spellEnd"/>
      <w:r w:rsidRPr="005457A5">
        <w:rPr>
          <w:rFonts w:eastAsiaTheme="minorEastAsia"/>
          <w:bCs/>
          <w:sz w:val="28"/>
          <w:szCs w:val="28"/>
          <w:lang w:val="en-US" w:eastAsia="zh-CN"/>
        </w:rPr>
        <w:t xml:space="preserve"> [3]. For estimation of LQ were used two questionnaires: SF-36</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 xml:space="preserve">for studying of all the components of LQ. It consists of 36 questions which are grouped into 8 scales, each of which is estimated from 0 to 100 points. The higher rate of scale evidences the better condition of health. GSRS is used to estimate the LQ of patients who suffer from gastrointestinal diseases. It consists of 15 questions, which are grouped into 5 scales. The lower indicators correspond to weaker symptoms and accordingly higher level of LQ. [2]. Research of </w:t>
      </w:r>
      <w:proofErr w:type="spellStart"/>
      <w:r w:rsidRPr="005457A5">
        <w:rPr>
          <w:rFonts w:eastAsiaTheme="minorEastAsia"/>
          <w:bCs/>
          <w:sz w:val="28"/>
          <w:szCs w:val="28"/>
          <w:lang w:val="en-US" w:eastAsia="zh-CN"/>
        </w:rPr>
        <w:t>coprocultur</w:t>
      </w:r>
      <w:proofErr w:type="spellEnd"/>
      <w:r w:rsidRPr="005457A5">
        <w:rPr>
          <w:rFonts w:eastAsiaTheme="minorEastAsia"/>
          <w:bCs/>
          <w:sz w:val="28"/>
          <w:szCs w:val="28"/>
          <w:lang w:val="en-US" w:eastAsia="zh-CN"/>
        </w:rPr>
        <w:t xml:space="preserve"> on CD was performed by the method of R.V. </w:t>
      </w:r>
      <w:proofErr w:type="spellStart"/>
      <w:r w:rsidRPr="005457A5">
        <w:rPr>
          <w:rFonts w:eastAsiaTheme="minorEastAsia"/>
          <w:bCs/>
          <w:sz w:val="28"/>
          <w:szCs w:val="28"/>
          <w:lang w:val="en-US" w:eastAsia="zh-CN"/>
        </w:rPr>
        <w:t>Epshtein-Litvak</w:t>
      </w:r>
      <w:proofErr w:type="spellEnd"/>
      <w:r w:rsidRPr="005457A5">
        <w:rPr>
          <w:rFonts w:eastAsiaTheme="minorEastAsia"/>
          <w:bCs/>
          <w:sz w:val="28"/>
          <w:szCs w:val="28"/>
          <w:lang w:val="en-US" w:eastAsia="zh-CN"/>
        </w:rPr>
        <w:t xml:space="preserve"> and</w:t>
      </w:r>
      <w:r w:rsidRPr="005457A5">
        <w:rPr>
          <w:rFonts w:eastAsiaTheme="minorEastAsia"/>
          <w:bCs/>
          <w:sz w:val="28"/>
          <w:szCs w:val="28"/>
          <w:lang w:val="uk-UA" w:eastAsia="zh-CN"/>
        </w:rPr>
        <w:t xml:space="preserve"> </w:t>
      </w:r>
      <w:proofErr w:type="spellStart"/>
      <w:r w:rsidRPr="005457A5">
        <w:rPr>
          <w:rFonts w:eastAsiaTheme="minorEastAsia"/>
          <w:bCs/>
          <w:sz w:val="28"/>
          <w:szCs w:val="28"/>
          <w:lang w:val="en-US" w:eastAsia="zh-CN"/>
        </w:rPr>
        <w:t>Ph.L</w:t>
      </w:r>
      <w:proofErr w:type="spellEnd"/>
      <w:r w:rsidRPr="005457A5">
        <w:rPr>
          <w:rFonts w:eastAsiaTheme="minorEastAsia"/>
          <w:bCs/>
          <w:sz w:val="28"/>
          <w:szCs w:val="28"/>
          <w:lang w:val="en-US" w:eastAsia="zh-CN"/>
        </w:rPr>
        <w:t xml:space="preserve">. </w:t>
      </w:r>
      <w:proofErr w:type="spellStart"/>
      <w:r w:rsidRPr="005457A5">
        <w:rPr>
          <w:rFonts w:eastAsiaTheme="minorEastAsia"/>
          <w:bCs/>
          <w:sz w:val="28"/>
          <w:szCs w:val="28"/>
          <w:lang w:val="en-US" w:eastAsia="zh-CN"/>
        </w:rPr>
        <w:t>Vilshansky</w:t>
      </w:r>
      <w:proofErr w:type="spellEnd"/>
      <w:r w:rsidRPr="005457A5">
        <w:rPr>
          <w:rFonts w:eastAsiaTheme="minorEastAsia"/>
          <w:bCs/>
          <w:sz w:val="28"/>
          <w:szCs w:val="28"/>
          <w:lang w:val="en-US" w:eastAsia="zh-CN"/>
        </w:rPr>
        <w:t xml:space="preserve"> (1977). The severity of CD was established according to generally accepted classification (G.I. </w:t>
      </w:r>
      <w:proofErr w:type="spellStart"/>
      <w:r w:rsidRPr="005457A5">
        <w:rPr>
          <w:rFonts w:eastAsiaTheme="minorEastAsia"/>
          <w:bCs/>
          <w:sz w:val="28"/>
          <w:szCs w:val="28"/>
          <w:lang w:val="en-US" w:eastAsia="zh-CN"/>
        </w:rPr>
        <w:t>Kuznetsov</w:t>
      </w:r>
      <w:proofErr w:type="spellEnd"/>
      <w:r w:rsidRPr="005457A5">
        <w:rPr>
          <w:rFonts w:eastAsiaTheme="minorEastAsia"/>
          <w:bCs/>
          <w:sz w:val="28"/>
          <w:szCs w:val="28"/>
          <w:lang w:val="en-US" w:eastAsia="zh-CN"/>
        </w:rPr>
        <w:t xml:space="preserve">, 1975; I.B. </w:t>
      </w:r>
      <w:proofErr w:type="spellStart"/>
      <w:r w:rsidRPr="005457A5">
        <w:rPr>
          <w:rFonts w:eastAsiaTheme="minorEastAsia"/>
          <w:bCs/>
          <w:sz w:val="28"/>
          <w:szCs w:val="28"/>
          <w:lang w:val="en-US" w:eastAsia="zh-CN"/>
        </w:rPr>
        <w:t>Kuvaev</w:t>
      </w:r>
      <w:proofErr w:type="spellEnd"/>
      <w:r w:rsidRPr="005457A5">
        <w:rPr>
          <w:rFonts w:eastAsiaTheme="minorEastAsia"/>
          <w:bCs/>
          <w:sz w:val="28"/>
          <w:szCs w:val="28"/>
          <w:lang w:val="en-US" w:eastAsia="zh-CN"/>
        </w:rPr>
        <w:t xml:space="preserve">, K.S. </w:t>
      </w:r>
      <w:proofErr w:type="spellStart"/>
      <w:r w:rsidRPr="005457A5">
        <w:rPr>
          <w:rFonts w:eastAsiaTheme="minorEastAsia"/>
          <w:bCs/>
          <w:sz w:val="28"/>
          <w:szCs w:val="28"/>
          <w:lang w:val="en-US" w:eastAsia="zh-CN"/>
        </w:rPr>
        <w:t>Lado</w:t>
      </w:r>
      <w:proofErr w:type="spellEnd"/>
      <w:r w:rsidRPr="005457A5">
        <w:rPr>
          <w:rFonts w:eastAsiaTheme="minorEastAsia"/>
          <w:bCs/>
          <w:sz w:val="28"/>
          <w:szCs w:val="28"/>
          <w:lang w:val="en-US" w:eastAsia="zh-CN"/>
        </w:rPr>
        <w:t xml:space="preserve">, 1991) [1, 7]. </w:t>
      </w:r>
    </w:p>
    <w:p w:rsidR="005457A5" w:rsidRPr="005457A5" w:rsidRDefault="005457A5" w:rsidP="005457A5">
      <w:pPr>
        <w:spacing w:after="0" w:line="360" w:lineRule="auto"/>
        <w:ind w:firstLine="709"/>
        <w:jc w:val="both"/>
        <w:rPr>
          <w:rFonts w:eastAsiaTheme="minorEastAsia"/>
          <w:bCs/>
          <w:sz w:val="28"/>
          <w:szCs w:val="28"/>
          <w:lang w:val="en-US" w:eastAsia="zh-CN"/>
        </w:rPr>
      </w:pPr>
      <w:r w:rsidRPr="005457A5">
        <w:rPr>
          <w:rFonts w:eastAsiaTheme="minorEastAsia"/>
          <w:bCs/>
          <w:sz w:val="28"/>
          <w:szCs w:val="28"/>
          <w:lang w:val="en-US" w:eastAsia="zh-CN"/>
        </w:rPr>
        <w:t>20 patients (1st group) received a conventional scheme of treatment (CST) of CP, which included such medicaments as the controls of motility of the digestive system</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antispasmodics (no-spa 0,04</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 xml:space="preserve">2 tabs. 2 t/d) and/or </w:t>
      </w:r>
      <w:proofErr w:type="spellStart"/>
      <w:r w:rsidRPr="005457A5">
        <w:rPr>
          <w:rFonts w:eastAsiaTheme="minorEastAsia"/>
          <w:bCs/>
          <w:sz w:val="28"/>
          <w:szCs w:val="28"/>
          <w:lang w:val="en-US" w:eastAsia="zh-CN"/>
        </w:rPr>
        <w:t>prokinetic</w:t>
      </w:r>
      <w:proofErr w:type="spellEnd"/>
      <w:r w:rsidRPr="005457A5">
        <w:rPr>
          <w:rFonts w:eastAsiaTheme="minorEastAsia"/>
          <w:bCs/>
          <w:sz w:val="28"/>
          <w:szCs w:val="28"/>
          <w:lang w:val="en-US" w:eastAsia="zh-CN"/>
        </w:rPr>
        <w:t xml:space="preserve"> (</w:t>
      </w:r>
      <w:proofErr w:type="spellStart"/>
      <w:r w:rsidRPr="005457A5">
        <w:rPr>
          <w:rFonts w:eastAsiaTheme="minorEastAsia"/>
          <w:bCs/>
          <w:sz w:val="28"/>
          <w:szCs w:val="28"/>
          <w:lang w:val="en-US" w:eastAsia="zh-CN"/>
        </w:rPr>
        <w:t>motilium</w:t>
      </w:r>
      <w:proofErr w:type="spellEnd"/>
      <w:r w:rsidRPr="005457A5">
        <w:rPr>
          <w:rFonts w:eastAsiaTheme="minorEastAsia"/>
          <w:bCs/>
          <w:sz w:val="28"/>
          <w:szCs w:val="28"/>
          <w:lang w:val="en-US" w:eastAsia="zh-CN"/>
        </w:rPr>
        <w:t xml:space="preserve"> 0,01</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1 tab. 3 t/d), antagonists of H2-histamine receptors (</w:t>
      </w:r>
      <w:proofErr w:type="spellStart"/>
      <w:r w:rsidRPr="005457A5">
        <w:rPr>
          <w:rFonts w:eastAsiaTheme="minorEastAsia"/>
          <w:bCs/>
          <w:sz w:val="28"/>
          <w:szCs w:val="28"/>
          <w:lang w:val="en-US" w:eastAsia="zh-CN"/>
        </w:rPr>
        <w:t>kvamatel</w:t>
      </w:r>
      <w:proofErr w:type="spellEnd"/>
      <w:r w:rsidRPr="005457A5">
        <w:rPr>
          <w:rFonts w:eastAsiaTheme="minorEastAsia"/>
          <w:bCs/>
          <w:sz w:val="28"/>
          <w:szCs w:val="28"/>
          <w:lang w:val="en-US" w:eastAsia="zh-CN"/>
        </w:rPr>
        <w:t xml:space="preserve"> 0,02</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1 tab. 1 t/d) and/or proton pump inhibitors (</w:t>
      </w:r>
      <w:proofErr w:type="spellStart"/>
      <w:r w:rsidRPr="005457A5">
        <w:rPr>
          <w:rFonts w:eastAsiaTheme="minorEastAsia"/>
          <w:bCs/>
          <w:sz w:val="28"/>
          <w:szCs w:val="28"/>
          <w:lang w:val="en-US" w:eastAsia="zh-CN"/>
        </w:rPr>
        <w:t>proksium</w:t>
      </w:r>
      <w:proofErr w:type="spellEnd"/>
      <w:r w:rsidRPr="005457A5">
        <w:rPr>
          <w:rFonts w:eastAsiaTheme="minorEastAsia"/>
          <w:bCs/>
          <w:sz w:val="28"/>
          <w:szCs w:val="28"/>
          <w:lang w:val="en-US" w:eastAsia="zh-CN"/>
        </w:rPr>
        <w:t xml:space="preserve"> 0,04</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1 tab. 1 t/d), enzymes (</w:t>
      </w:r>
      <w:proofErr w:type="spellStart"/>
      <w:r w:rsidRPr="005457A5">
        <w:rPr>
          <w:rFonts w:eastAsiaTheme="minorEastAsia"/>
          <w:bCs/>
          <w:sz w:val="28"/>
          <w:szCs w:val="28"/>
          <w:lang w:val="en-US" w:eastAsia="zh-CN"/>
        </w:rPr>
        <w:t>kreon</w:t>
      </w:r>
      <w:proofErr w:type="spellEnd"/>
      <w:r w:rsidRPr="005457A5">
        <w:rPr>
          <w:rFonts w:eastAsiaTheme="minorEastAsia"/>
          <w:bCs/>
          <w:sz w:val="28"/>
          <w:szCs w:val="28"/>
          <w:lang w:val="en-US" w:eastAsia="zh-CN"/>
        </w:rPr>
        <w:t xml:space="preserve"> 25000</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 xml:space="preserve">1 caps. 3 t/d). All medicaments were prescribed «on demand» in </w:t>
      </w:r>
      <w:r w:rsidRPr="005457A5">
        <w:rPr>
          <w:rFonts w:eastAsiaTheme="minorEastAsia"/>
          <w:bCs/>
          <w:sz w:val="28"/>
          <w:szCs w:val="28"/>
          <w:lang w:val="en-US" w:eastAsia="zh-CN"/>
        </w:rPr>
        <w:lastRenderedPageBreak/>
        <w:t xml:space="preserve">accordance with the clinical symptoms. Also all patients received a </w:t>
      </w:r>
      <w:proofErr w:type="spellStart"/>
      <w:r w:rsidRPr="005457A5">
        <w:rPr>
          <w:rFonts w:eastAsiaTheme="minorEastAsia"/>
          <w:bCs/>
          <w:sz w:val="28"/>
          <w:szCs w:val="28"/>
          <w:lang w:val="en-US" w:eastAsia="zh-CN"/>
        </w:rPr>
        <w:t>synbiotic</w:t>
      </w:r>
      <w:proofErr w:type="spellEnd"/>
      <w:r w:rsidRPr="005457A5">
        <w:rPr>
          <w:rFonts w:eastAsiaTheme="minorEastAsia"/>
          <w:bCs/>
          <w:sz w:val="28"/>
          <w:szCs w:val="28"/>
          <w:lang w:val="en-US" w:eastAsia="zh-CN"/>
        </w:rPr>
        <w:t xml:space="preserve"> </w:t>
      </w:r>
      <w:proofErr w:type="spellStart"/>
      <w:r w:rsidRPr="005457A5">
        <w:rPr>
          <w:rFonts w:eastAsiaTheme="minorEastAsia"/>
          <w:bCs/>
          <w:sz w:val="28"/>
          <w:szCs w:val="28"/>
          <w:lang w:val="en-US" w:eastAsia="zh-CN"/>
        </w:rPr>
        <w:t>laktiale</w:t>
      </w:r>
      <w:proofErr w:type="spellEnd"/>
      <w:r w:rsidR="00FB4AB2">
        <w:rPr>
          <w:rFonts w:eastAsiaTheme="minorEastAsia"/>
          <w:bCs/>
          <w:sz w:val="28"/>
          <w:szCs w:val="28"/>
          <w:lang w:val="en-US" w:eastAsia="zh-CN"/>
        </w:rPr>
        <w:t xml:space="preserve"> ― </w:t>
      </w:r>
      <w:r w:rsidRPr="005457A5">
        <w:rPr>
          <w:rFonts w:eastAsiaTheme="minorEastAsia"/>
          <w:bCs/>
          <w:sz w:val="28"/>
          <w:szCs w:val="28"/>
          <w:lang w:val="en-US" w:eastAsia="zh-CN"/>
        </w:rPr>
        <w:t>2 capsules a day after the main meal during 4 weeks [6].</w:t>
      </w:r>
    </w:p>
    <w:p w:rsidR="005457A5" w:rsidRPr="005457A5" w:rsidRDefault="005457A5" w:rsidP="005457A5">
      <w:pPr>
        <w:spacing w:after="0" w:line="360" w:lineRule="auto"/>
        <w:ind w:firstLine="709"/>
        <w:jc w:val="both"/>
        <w:rPr>
          <w:rFonts w:eastAsiaTheme="minorEastAsia"/>
          <w:bCs/>
          <w:sz w:val="28"/>
          <w:szCs w:val="28"/>
          <w:lang w:val="uk-UA" w:eastAsia="zh-CN"/>
        </w:rPr>
      </w:pPr>
      <w:r w:rsidRPr="005457A5">
        <w:rPr>
          <w:rFonts w:eastAsiaTheme="minorEastAsia"/>
          <w:bCs/>
          <w:sz w:val="28"/>
          <w:szCs w:val="28"/>
          <w:lang w:val="en-US" w:eastAsia="zh-CN"/>
        </w:rPr>
        <w:t xml:space="preserve">In addition to the CST 25 patients received a course of DENS-therapy which was consisted of 12-14 sessions with using </w:t>
      </w:r>
      <w:proofErr w:type="spellStart"/>
      <w:r w:rsidRPr="005457A5">
        <w:rPr>
          <w:rFonts w:eastAsiaTheme="minorEastAsia"/>
          <w:bCs/>
          <w:sz w:val="28"/>
          <w:szCs w:val="28"/>
          <w:lang w:val="en-US" w:eastAsia="zh-CN"/>
        </w:rPr>
        <w:t>Dia</w:t>
      </w:r>
      <w:proofErr w:type="spellEnd"/>
      <w:r w:rsidRPr="005457A5">
        <w:rPr>
          <w:rFonts w:eastAsiaTheme="minorEastAsia"/>
          <w:bCs/>
          <w:sz w:val="28"/>
          <w:szCs w:val="28"/>
          <w:lang w:val="en-US" w:eastAsia="zh-CN"/>
        </w:rPr>
        <w:t>-DENS PK device (impact was performed due to two different schemes</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influence on segmental zones and on acupuncture points). In the 2nd group (12 persons) a procedure was held on areas of segmental zones: area of a direct projection of pain (is different for each patient); area of direct projection of the pancreas with the frequency of 77 Hz; area of segmental ring on the level of 6-8 thoracic segments with the frequency of 60 Hz 3-5 times; lumbar zone with the frequency of 20 Hz. The impact was held by the labile method in the regime of «Therapy» and in the comfort energy range of influence – from 2 to 5 minutes on each area.</w:t>
      </w:r>
    </w:p>
    <w:p w:rsidR="005457A5" w:rsidRPr="005457A5" w:rsidRDefault="005457A5" w:rsidP="005457A5">
      <w:pPr>
        <w:spacing w:after="0" w:line="360" w:lineRule="auto"/>
        <w:ind w:firstLine="709"/>
        <w:jc w:val="both"/>
        <w:rPr>
          <w:rFonts w:eastAsiaTheme="minorEastAsia"/>
          <w:bCs/>
          <w:sz w:val="28"/>
          <w:szCs w:val="28"/>
          <w:lang w:val="en-US" w:eastAsia="zh-CN"/>
        </w:rPr>
      </w:pPr>
      <w:r w:rsidRPr="005457A5">
        <w:rPr>
          <w:rFonts w:eastAsiaTheme="minorEastAsia"/>
          <w:bCs/>
          <w:sz w:val="28"/>
          <w:szCs w:val="28"/>
          <w:lang w:val="en-US" w:eastAsia="zh-CN"/>
        </w:rPr>
        <w:t>In 13 patients (3rd group) the impact was held by the external point therapeutic electrode, by using stable method in the regime of “Therapy” with the frequency of 60 Hz during 2-3 minutes on each point. Impact was performed on the following points: AP 96</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projection of the pancreas; AP 55</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gen-</w:t>
      </w:r>
      <w:proofErr w:type="spellStart"/>
      <w:r w:rsidRPr="005457A5">
        <w:rPr>
          <w:rFonts w:eastAsiaTheme="minorEastAsia"/>
          <w:bCs/>
          <w:sz w:val="28"/>
          <w:szCs w:val="28"/>
          <w:lang w:val="en-US" w:eastAsia="zh-CN"/>
        </w:rPr>
        <w:t>shen</w:t>
      </w:r>
      <w:proofErr w:type="spellEnd"/>
      <w:r w:rsidRPr="005457A5">
        <w:rPr>
          <w:rFonts w:eastAsiaTheme="minorEastAsia"/>
          <w:bCs/>
          <w:sz w:val="28"/>
          <w:szCs w:val="28"/>
          <w:lang w:val="en-US" w:eastAsia="zh-CN"/>
        </w:rPr>
        <w:t xml:space="preserve"> point (provides analgesic and sedative effects); AP 22</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point of endocrine glands; AP 39</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 xml:space="preserve">point of the thoracic spine (provides analgesic and anti-inflammatory effects). Also on points </w:t>
      </w:r>
      <w:proofErr w:type="gramStart"/>
      <w:r w:rsidRPr="005457A5">
        <w:rPr>
          <w:rFonts w:eastAsiaTheme="minorEastAsia"/>
          <w:bCs/>
          <w:sz w:val="28"/>
          <w:szCs w:val="28"/>
          <w:lang w:val="en-US" w:eastAsia="zh-CN"/>
        </w:rPr>
        <w:t>of  projection</w:t>
      </w:r>
      <w:proofErr w:type="gramEnd"/>
      <w:r w:rsidRPr="005457A5">
        <w:rPr>
          <w:rFonts w:eastAsiaTheme="minorEastAsia"/>
          <w:bCs/>
          <w:sz w:val="28"/>
          <w:szCs w:val="28"/>
          <w:lang w:val="en-US" w:eastAsia="zh-CN"/>
        </w:rPr>
        <w:t xml:space="preserve"> of the pancreas on the palm of the hand and on the foot according to the system of Su </w:t>
      </w:r>
      <w:proofErr w:type="spellStart"/>
      <w:r w:rsidRPr="005457A5">
        <w:rPr>
          <w:rFonts w:eastAsiaTheme="minorEastAsia"/>
          <w:bCs/>
          <w:sz w:val="28"/>
          <w:szCs w:val="28"/>
          <w:lang w:val="en-US" w:eastAsia="zh-CN"/>
        </w:rPr>
        <w:t>Jok</w:t>
      </w:r>
      <w:proofErr w:type="spellEnd"/>
      <w:r w:rsidRPr="005457A5">
        <w:rPr>
          <w:rFonts w:eastAsiaTheme="minorEastAsia"/>
          <w:bCs/>
          <w:sz w:val="28"/>
          <w:szCs w:val="28"/>
          <w:lang w:val="en-US" w:eastAsia="zh-CN"/>
        </w:rPr>
        <w:t xml:space="preserve"> [2, 3].</w:t>
      </w:r>
    </w:p>
    <w:p w:rsidR="005457A5" w:rsidRPr="005457A5" w:rsidRDefault="005457A5" w:rsidP="005457A5">
      <w:pPr>
        <w:spacing w:after="0" w:line="360" w:lineRule="auto"/>
        <w:ind w:firstLine="709"/>
        <w:jc w:val="both"/>
        <w:rPr>
          <w:rFonts w:eastAsiaTheme="minorEastAsia"/>
          <w:bCs/>
          <w:sz w:val="28"/>
          <w:szCs w:val="28"/>
          <w:lang w:val="en-US" w:eastAsia="zh-CN"/>
        </w:rPr>
      </w:pPr>
      <w:proofErr w:type="gramStart"/>
      <w:r w:rsidRPr="005457A5">
        <w:rPr>
          <w:rFonts w:eastAsiaTheme="minorEastAsia"/>
          <w:b/>
          <w:bCs/>
          <w:sz w:val="28"/>
          <w:szCs w:val="28"/>
          <w:lang w:val="en-US" w:eastAsia="zh-CN"/>
        </w:rPr>
        <w:t>Results and discussion</w:t>
      </w:r>
      <w:r w:rsidR="004D2B00" w:rsidRPr="004D2B00">
        <w:rPr>
          <w:rFonts w:eastAsiaTheme="minorEastAsia"/>
          <w:b/>
          <w:bCs/>
          <w:sz w:val="28"/>
          <w:szCs w:val="28"/>
          <w:lang w:val="uk-UA" w:eastAsia="zh-CN"/>
        </w:rPr>
        <w:t>.</w:t>
      </w:r>
      <w:proofErr w:type="gramEnd"/>
      <w:r w:rsidR="004D2B00" w:rsidRPr="004D2B00">
        <w:rPr>
          <w:rFonts w:eastAsiaTheme="minorEastAsia"/>
          <w:b/>
          <w:bCs/>
          <w:sz w:val="28"/>
          <w:szCs w:val="28"/>
          <w:lang w:val="uk-UA" w:eastAsia="zh-CN"/>
        </w:rPr>
        <w:t xml:space="preserve"> </w:t>
      </w:r>
      <w:r w:rsidRPr="005457A5">
        <w:rPr>
          <w:rFonts w:eastAsiaTheme="minorEastAsia"/>
          <w:bCs/>
          <w:sz w:val="28"/>
          <w:szCs w:val="28"/>
          <w:lang w:val="en-US" w:eastAsia="zh-CN"/>
        </w:rPr>
        <w:t>During the clinical examination such leading syndromes were observed</w:t>
      </w:r>
      <w:r>
        <w:rPr>
          <w:rFonts w:eastAsiaTheme="minorEastAsia"/>
          <w:bCs/>
          <w:sz w:val="28"/>
          <w:szCs w:val="28"/>
          <w:lang w:val="en-US" w:eastAsia="zh-CN"/>
        </w:rPr>
        <w:t xml:space="preserve"> </w:t>
      </w:r>
      <w:r w:rsidRPr="005457A5">
        <w:rPr>
          <w:rFonts w:eastAsiaTheme="minorEastAsia"/>
          <w:bCs/>
          <w:sz w:val="28"/>
          <w:szCs w:val="28"/>
          <w:lang w:val="en-US" w:eastAsia="zh-CN"/>
        </w:rPr>
        <w:t xml:space="preserve">in the patients with CP: pain in 85,0 % of 1st group and in 83,3 % and 76,9 % of 2nd and 3rd groups, </w:t>
      </w:r>
      <w:proofErr w:type="spellStart"/>
      <w:r w:rsidRPr="005457A5">
        <w:rPr>
          <w:rFonts w:eastAsiaTheme="minorEastAsia"/>
          <w:bCs/>
          <w:sz w:val="28"/>
          <w:szCs w:val="28"/>
          <w:lang w:val="en-US" w:eastAsia="zh-CN"/>
        </w:rPr>
        <w:t>astheno</w:t>
      </w:r>
      <w:proofErr w:type="spellEnd"/>
      <w:r w:rsidRPr="005457A5">
        <w:rPr>
          <w:rFonts w:eastAsiaTheme="minorEastAsia"/>
          <w:bCs/>
          <w:sz w:val="28"/>
          <w:szCs w:val="28"/>
          <w:lang w:val="en-US" w:eastAsia="zh-CN"/>
        </w:rPr>
        <w:t>-neurotic</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80,0 %, 91,7 %, 92,3 %, dyspepsia – 100,0 % of patients of all groups, anemia</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70,0 %, 58,3 % and 61,5 %, allergic</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 xml:space="preserve">75,0 %, 66,7 % and 61,5 %, </w:t>
      </w:r>
      <w:proofErr w:type="spellStart"/>
      <w:r w:rsidRPr="005457A5">
        <w:rPr>
          <w:rFonts w:eastAsiaTheme="minorEastAsia"/>
          <w:bCs/>
          <w:sz w:val="28"/>
          <w:szCs w:val="28"/>
          <w:lang w:val="en-US" w:eastAsia="zh-CN"/>
        </w:rPr>
        <w:t>hypovitaminosis</w:t>
      </w:r>
      <w:proofErr w:type="spellEnd"/>
      <w:r w:rsidR="00FB4AB2">
        <w:rPr>
          <w:rFonts w:eastAsiaTheme="minorEastAsia"/>
          <w:bCs/>
          <w:sz w:val="28"/>
          <w:szCs w:val="28"/>
          <w:lang w:val="en-US" w:eastAsia="zh-CN"/>
        </w:rPr>
        <w:t xml:space="preserve"> ― </w:t>
      </w:r>
      <w:r w:rsidRPr="005457A5">
        <w:rPr>
          <w:rFonts w:eastAsiaTheme="minorEastAsia"/>
          <w:bCs/>
          <w:sz w:val="28"/>
          <w:szCs w:val="28"/>
          <w:lang w:val="en-US" w:eastAsia="zh-CN"/>
        </w:rPr>
        <w:t xml:space="preserve">85,0 %, 66,7 % and 84,6 %, </w:t>
      </w:r>
      <w:proofErr w:type="spellStart"/>
      <w:r w:rsidRPr="005457A5">
        <w:rPr>
          <w:rFonts w:eastAsiaTheme="minorEastAsia"/>
          <w:bCs/>
          <w:sz w:val="28"/>
          <w:szCs w:val="28"/>
          <w:lang w:val="en-US" w:eastAsia="zh-CN"/>
        </w:rPr>
        <w:t>steatorrhea</w:t>
      </w:r>
      <w:proofErr w:type="spellEnd"/>
      <w:r w:rsidR="00FB4AB2">
        <w:rPr>
          <w:rFonts w:eastAsiaTheme="minorEastAsia"/>
          <w:bCs/>
          <w:sz w:val="28"/>
          <w:szCs w:val="28"/>
          <w:lang w:val="en-US" w:eastAsia="zh-CN"/>
        </w:rPr>
        <w:t xml:space="preserve"> ― </w:t>
      </w:r>
      <w:r w:rsidRPr="005457A5">
        <w:rPr>
          <w:rFonts w:eastAsiaTheme="minorEastAsia"/>
          <w:bCs/>
          <w:sz w:val="28"/>
          <w:szCs w:val="28"/>
          <w:lang w:val="en-US" w:eastAsia="zh-CN"/>
        </w:rPr>
        <w:t>75,0 %, 83,3 % and 76,9%.</w:t>
      </w:r>
    </w:p>
    <w:p w:rsidR="008949C9" w:rsidRDefault="005457A5" w:rsidP="005457A5">
      <w:pPr>
        <w:spacing w:after="0" w:line="360" w:lineRule="auto"/>
        <w:ind w:firstLine="709"/>
        <w:jc w:val="both"/>
        <w:rPr>
          <w:rFonts w:eastAsiaTheme="minorEastAsia"/>
          <w:bCs/>
          <w:sz w:val="28"/>
          <w:szCs w:val="28"/>
          <w:lang w:val="en-US" w:eastAsia="zh-CN"/>
        </w:rPr>
      </w:pPr>
      <w:r w:rsidRPr="005457A5">
        <w:rPr>
          <w:rFonts w:eastAsiaTheme="minorEastAsia"/>
          <w:bCs/>
          <w:sz w:val="28"/>
          <w:szCs w:val="28"/>
          <w:lang w:val="en-US" w:eastAsia="zh-CN"/>
        </w:rPr>
        <w:t xml:space="preserve">The results of the estimation of LQ according to scales of the GSRS questionnaire had rather high values that correspond to the lower LQ. Syndrome of abdominal pain reached 8 points in the 1st group, 10 points in the 2nd and 3rd groups, </w:t>
      </w:r>
      <w:proofErr w:type="spellStart"/>
      <w:r w:rsidRPr="005457A5">
        <w:rPr>
          <w:rFonts w:eastAsiaTheme="minorEastAsia"/>
          <w:bCs/>
          <w:sz w:val="28"/>
          <w:szCs w:val="28"/>
          <w:lang w:val="en-US" w:eastAsia="zh-CN"/>
        </w:rPr>
        <w:t>gastral</w:t>
      </w:r>
      <w:proofErr w:type="spellEnd"/>
      <w:r w:rsidRPr="005457A5">
        <w:rPr>
          <w:rFonts w:eastAsiaTheme="minorEastAsia"/>
          <w:bCs/>
          <w:sz w:val="28"/>
          <w:szCs w:val="28"/>
          <w:lang w:val="en-US" w:eastAsia="zh-CN"/>
        </w:rPr>
        <w:t xml:space="preserve"> reflux</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12, 13, and 12 points, dyspepsia</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 xml:space="preserve">15, 18 and 16 points, </w:t>
      </w:r>
      <w:r w:rsidRPr="005457A5">
        <w:rPr>
          <w:rFonts w:eastAsiaTheme="minorEastAsia"/>
          <w:bCs/>
          <w:sz w:val="28"/>
          <w:szCs w:val="28"/>
          <w:lang w:val="en-US" w:eastAsia="zh-CN"/>
        </w:rPr>
        <w:lastRenderedPageBreak/>
        <w:t>diarrhea</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9, 13 and 10 points, constipation</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7, 10 and 8 points. Also was revealed a decreasing of LQ indicators mainly for the components of the physical health according to the SF-36 questionnaire (scale of role functioning in average reached by 37 points in 1st group, 33 points in the 2nd group and 30 points in the 3rd group, physical functioning</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28, 21 and 24 points, pain intensity</w:t>
      </w:r>
      <w:r w:rsidR="00FB4AB2">
        <w:rPr>
          <w:rFonts w:eastAsiaTheme="minorEastAsia"/>
          <w:bCs/>
          <w:sz w:val="28"/>
          <w:szCs w:val="28"/>
          <w:lang w:val="en-US" w:eastAsia="zh-CN"/>
        </w:rPr>
        <w:t xml:space="preserve"> ― </w:t>
      </w:r>
      <w:r w:rsidRPr="005457A5">
        <w:rPr>
          <w:rFonts w:eastAsiaTheme="minorEastAsia"/>
          <w:bCs/>
          <w:sz w:val="28"/>
          <w:szCs w:val="28"/>
          <w:lang w:val="en-US" w:eastAsia="zh-CN"/>
        </w:rPr>
        <w:t>30, 29 and 33 points and general health</w:t>
      </w:r>
      <w:r w:rsidR="00FB4AB2">
        <w:rPr>
          <w:rFonts w:eastAsiaTheme="minorEastAsia"/>
          <w:bCs/>
          <w:sz w:val="28"/>
          <w:szCs w:val="28"/>
          <w:lang w:val="en-US" w:eastAsia="zh-CN"/>
        </w:rPr>
        <w:t xml:space="preserve"> ― </w:t>
      </w:r>
      <w:r w:rsidR="008949C9">
        <w:rPr>
          <w:rFonts w:eastAsiaTheme="minorEastAsia"/>
          <w:bCs/>
          <w:sz w:val="28"/>
          <w:szCs w:val="28"/>
          <w:lang w:val="en-US" w:eastAsia="zh-CN"/>
        </w:rPr>
        <w:t>40, 38 and 42 points).</w:t>
      </w:r>
    </w:p>
    <w:p w:rsidR="005457A5" w:rsidRPr="005457A5" w:rsidRDefault="005457A5" w:rsidP="005457A5">
      <w:pPr>
        <w:spacing w:after="0" w:line="360" w:lineRule="auto"/>
        <w:ind w:firstLine="709"/>
        <w:jc w:val="both"/>
        <w:rPr>
          <w:rFonts w:eastAsiaTheme="minorEastAsia"/>
          <w:bCs/>
          <w:sz w:val="28"/>
          <w:szCs w:val="28"/>
          <w:lang w:val="en-US" w:eastAsia="zh-CN"/>
        </w:rPr>
      </w:pPr>
      <w:r w:rsidRPr="005457A5">
        <w:rPr>
          <w:rFonts w:eastAsiaTheme="minorEastAsia"/>
          <w:bCs/>
          <w:sz w:val="28"/>
          <w:szCs w:val="28"/>
          <w:lang w:val="en-US" w:eastAsia="zh-CN"/>
        </w:rPr>
        <w:t xml:space="preserve">The initial indicators were approximately the same in all groups, which allowed </w:t>
      </w:r>
      <w:proofErr w:type="gramStart"/>
      <w:r w:rsidRPr="005457A5">
        <w:rPr>
          <w:rFonts w:eastAsiaTheme="minorEastAsia"/>
          <w:bCs/>
          <w:sz w:val="28"/>
          <w:szCs w:val="28"/>
          <w:lang w:val="en-US" w:eastAsia="zh-CN"/>
        </w:rPr>
        <w:t>to compare</w:t>
      </w:r>
      <w:proofErr w:type="gramEnd"/>
      <w:r w:rsidRPr="005457A5">
        <w:rPr>
          <w:rFonts w:eastAsiaTheme="minorEastAsia"/>
          <w:bCs/>
          <w:sz w:val="28"/>
          <w:szCs w:val="28"/>
          <w:lang w:val="en-US" w:eastAsia="zh-CN"/>
        </w:rPr>
        <w:t xml:space="preserve"> them.</w:t>
      </w:r>
    </w:p>
    <w:p w:rsidR="005457A5" w:rsidRDefault="005457A5" w:rsidP="005457A5">
      <w:pPr>
        <w:spacing w:after="0" w:line="360" w:lineRule="auto"/>
        <w:ind w:firstLine="709"/>
        <w:jc w:val="both"/>
        <w:rPr>
          <w:rFonts w:eastAsiaTheme="minorEastAsia"/>
          <w:bCs/>
          <w:sz w:val="28"/>
          <w:szCs w:val="28"/>
          <w:lang w:val="en-US" w:eastAsia="zh-CN"/>
        </w:rPr>
      </w:pPr>
      <w:r w:rsidRPr="005457A5">
        <w:rPr>
          <w:rFonts w:eastAsiaTheme="minorEastAsia"/>
          <w:bCs/>
          <w:sz w:val="28"/>
          <w:szCs w:val="28"/>
          <w:lang w:val="en-US" w:eastAsia="zh-CN"/>
        </w:rPr>
        <w:t>The intensity of the clinical symptoms in patients with CP and with concomitant CD after using a complex of therapeutic measures is shown on figure 1.</w:t>
      </w:r>
    </w:p>
    <w:p w:rsidR="008949C9" w:rsidRDefault="008949C9" w:rsidP="005457A5">
      <w:pPr>
        <w:spacing w:after="0" w:line="360" w:lineRule="auto"/>
        <w:ind w:firstLine="709"/>
        <w:jc w:val="both"/>
        <w:rPr>
          <w:rFonts w:eastAsiaTheme="minorEastAsia"/>
          <w:bCs/>
          <w:sz w:val="28"/>
          <w:szCs w:val="28"/>
          <w:lang w:val="en-US" w:eastAsia="zh-CN"/>
        </w:rPr>
      </w:pPr>
      <w:r w:rsidRPr="008949C9">
        <w:rPr>
          <w:rFonts w:eastAsiaTheme="minorEastAsia"/>
          <w:bCs/>
          <w:sz w:val="28"/>
          <w:szCs w:val="28"/>
          <w:lang w:val="en-US" w:eastAsia="zh-CN"/>
        </w:rPr>
        <w:t>The results of the indicators of LQ according to the GSRS questionnaire after treatment are shown on Fig. 2. They show that the levels of the LQ of the patients of the 3rd group significantly improved in average by 5</w:t>
      </w:r>
      <w:proofErr w:type="gramStart"/>
      <w:r w:rsidRPr="008949C9">
        <w:rPr>
          <w:rFonts w:eastAsiaTheme="minorEastAsia"/>
          <w:bCs/>
          <w:sz w:val="28"/>
          <w:szCs w:val="28"/>
          <w:lang w:val="en-US" w:eastAsia="zh-CN"/>
        </w:rPr>
        <w:t>,8</w:t>
      </w:r>
      <w:proofErr w:type="gramEnd"/>
      <w:r w:rsidRPr="008949C9">
        <w:rPr>
          <w:rFonts w:eastAsiaTheme="minorEastAsia"/>
          <w:bCs/>
          <w:sz w:val="28"/>
          <w:szCs w:val="28"/>
          <w:lang w:val="en-US" w:eastAsia="zh-CN"/>
        </w:rPr>
        <w:t xml:space="preserve"> points, in 2nd group</w:t>
      </w:r>
      <w:r w:rsidR="00FB4AB2">
        <w:rPr>
          <w:rFonts w:eastAsiaTheme="minorEastAsia"/>
          <w:bCs/>
          <w:sz w:val="28"/>
          <w:szCs w:val="28"/>
          <w:lang w:val="en-US" w:eastAsia="zh-CN"/>
        </w:rPr>
        <w:t xml:space="preserve"> ― </w:t>
      </w:r>
      <w:r w:rsidRPr="008949C9">
        <w:rPr>
          <w:rFonts w:eastAsiaTheme="minorEastAsia"/>
          <w:bCs/>
          <w:sz w:val="28"/>
          <w:szCs w:val="28"/>
          <w:lang w:val="en-US" w:eastAsia="zh-CN"/>
        </w:rPr>
        <w:t>by 7,2 points again</w:t>
      </w:r>
      <w:r>
        <w:rPr>
          <w:rFonts w:eastAsiaTheme="minorEastAsia"/>
          <w:bCs/>
          <w:sz w:val="28"/>
          <w:szCs w:val="28"/>
          <w:lang w:val="en-US" w:eastAsia="zh-CN"/>
        </w:rPr>
        <w:t>st 2,8 points in the 1st group.</w:t>
      </w:r>
    </w:p>
    <w:p w:rsidR="008949C9" w:rsidRPr="005457A5" w:rsidRDefault="008949C9" w:rsidP="005457A5">
      <w:pPr>
        <w:spacing w:after="0" w:line="360" w:lineRule="auto"/>
        <w:ind w:firstLine="709"/>
        <w:jc w:val="both"/>
        <w:rPr>
          <w:rFonts w:eastAsiaTheme="minorEastAsia"/>
          <w:bCs/>
          <w:sz w:val="28"/>
          <w:szCs w:val="28"/>
          <w:lang w:val="en-US" w:eastAsia="zh-CN"/>
        </w:rPr>
      </w:pPr>
      <w:r w:rsidRPr="008949C9">
        <w:rPr>
          <w:rFonts w:eastAsiaTheme="minorEastAsia"/>
          <w:bCs/>
          <w:sz w:val="28"/>
          <w:szCs w:val="28"/>
          <w:lang w:val="en-US" w:eastAsia="zh-CN"/>
        </w:rPr>
        <w:t>According to the estimation of scales of the SF-36 questionnaire (Fig. 3), improvement of LQ in patients with CP increased to 64.2 % in the patients of 3rd group, to 63.8 % in 2nd group and to 24.6 % in the patients of the 1st group, who received a conventional treatment.</w:t>
      </w:r>
    </w:p>
    <w:p w:rsidR="004D2B00" w:rsidRPr="004D2B00" w:rsidRDefault="008949C9" w:rsidP="004D2B00">
      <w:pPr>
        <w:spacing w:after="0" w:line="360" w:lineRule="auto"/>
        <w:ind w:firstLine="709"/>
        <w:jc w:val="both"/>
        <w:rPr>
          <w:rFonts w:eastAsiaTheme="minorEastAsia"/>
          <w:bCs/>
          <w:sz w:val="28"/>
          <w:szCs w:val="28"/>
          <w:lang w:val="uk-UA" w:eastAsia="zh-CN"/>
        </w:rPr>
      </w:pPr>
      <w:proofErr w:type="gramStart"/>
      <w:r w:rsidRPr="008949C9">
        <w:rPr>
          <w:rFonts w:eastAsiaTheme="minorEastAsia"/>
          <w:b/>
          <w:bCs/>
          <w:sz w:val="28"/>
          <w:szCs w:val="28"/>
          <w:lang w:val="en-US" w:eastAsia="zh-CN"/>
        </w:rPr>
        <w:t>Conclusions.</w:t>
      </w:r>
      <w:proofErr w:type="gramEnd"/>
      <w:r w:rsidRPr="008949C9">
        <w:rPr>
          <w:rFonts w:eastAsiaTheme="minorEastAsia"/>
          <w:b/>
          <w:bCs/>
          <w:sz w:val="28"/>
          <w:szCs w:val="28"/>
          <w:lang w:val="en-US" w:eastAsia="zh-CN"/>
        </w:rPr>
        <w:t xml:space="preserve"> </w:t>
      </w:r>
      <w:r w:rsidRPr="008949C9">
        <w:rPr>
          <w:rFonts w:eastAsiaTheme="minorEastAsia"/>
          <w:bCs/>
          <w:sz w:val="28"/>
          <w:szCs w:val="28"/>
          <w:lang w:val="en-US" w:eastAsia="zh-CN"/>
        </w:rPr>
        <w:t>After a complex of therapeutic measures it was found that the condition of patients, who received a conventional treatment, have been improved according to the indicators of the clinical symptoms in average by 46 %, indicators of LQ</w:t>
      </w:r>
      <w:r w:rsidR="00FB4AB2">
        <w:rPr>
          <w:rFonts w:eastAsiaTheme="minorEastAsia"/>
          <w:bCs/>
          <w:sz w:val="28"/>
          <w:szCs w:val="28"/>
          <w:lang w:val="en-US" w:eastAsia="zh-CN"/>
        </w:rPr>
        <w:t xml:space="preserve"> ― </w:t>
      </w:r>
      <w:r w:rsidRPr="008949C9">
        <w:rPr>
          <w:rFonts w:eastAsiaTheme="minorEastAsia"/>
          <w:bCs/>
          <w:sz w:val="28"/>
          <w:szCs w:val="28"/>
          <w:lang w:val="en-US" w:eastAsia="zh-CN"/>
        </w:rPr>
        <w:t>by 31 %, the results of the patients of the 2nd group have improved by 53 % and 60 % and the indicators of the 3rd group</w:t>
      </w:r>
      <w:r w:rsidR="00FB4AB2">
        <w:rPr>
          <w:rFonts w:eastAsiaTheme="minorEastAsia"/>
          <w:bCs/>
          <w:sz w:val="28"/>
          <w:szCs w:val="28"/>
          <w:lang w:val="en-US" w:eastAsia="zh-CN"/>
        </w:rPr>
        <w:t xml:space="preserve"> ― </w:t>
      </w:r>
      <w:r w:rsidRPr="008949C9">
        <w:rPr>
          <w:rFonts w:eastAsiaTheme="minorEastAsia"/>
          <w:bCs/>
          <w:sz w:val="28"/>
          <w:szCs w:val="28"/>
          <w:lang w:val="en-US" w:eastAsia="zh-CN"/>
        </w:rPr>
        <w:t xml:space="preserve">55 % and 56 %. Results of treatment prove that the use of course the hardware </w:t>
      </w:r>
      <w:proofErr w:type="spellStart"/>
      <w:r w:rsidRPr="008949C9">
        <w:rPr>
          <w:rFonts w:eastAsiaTheme="minorEastAsia"/>
          <w:bCs/>
          <w:sz w:val="28"/>
          <w:szCs w:val="28"/>
          <w:lang w:val="en-US" w:eastAsia="zh-CN"/>
        </w:rPr>
        <w:t>reflexotherapy</w:t>
      </w:r>
      <w:proofErr w:type="spellEnd"/>
      <w:r w:rsidRPr="008949C9">
        <w:rPr>
          <w:rFonts w:eastAsiaTheme="minorEastAsia"/>
          <w:bCs/>
          <w:sz w:val="28"/>
          <w:szCs w:val="28"/>
          <w:lang w:val="en-US" w:eastAsia="zh-CN"/>
        </w:rPr>
        <w:t xml:space="preserve"> (12-14 sessions of dynamic </w:t>
      </w:r>
      <w:proofErr w:type="spellStart"/>
      <w:r w:rsidRPr="008949C9">
        <w:rPr>
          <w:rFonts w:eastAsiaTheme="minorEastAsia"/>
          <w:bCs/>
          <w:sz w:val="28"/>
          <w:szCs w:val="28"/>
          <w:lang w:val="en-US" w:eastAsia="zh-CN"/>
        </w:rPr>
        <w:t>electroneurostimulation</w:t>
      </w:r>
      <w:proofErr w:type="spellEnd"/>
      <w:r w:rsidRPr="008949C9">
        <w:rPr>
          <w:rFonts w:eastAsiaTheme="minorEastAsia"/>
          <w:bCs/>
          <w:sz w:val="28"/>
          <w:szCs w:val="28"/>
          <w:lang w:val="en-US" w:eastAsia="zh-CN"/>
        </w:rPr>
        <w:t>) in complex treatment and rehabilitation of patients with CP significantly improve the condition of these patients in comparison to conventional scheme of treatment of CP (p&lt;0.05).</w:t>
      </w:r>
    </w:p>
    <w:p w:rsidR="00410139" w:rsidRDefault="008949C9" w:rsidP="008949C9">
      <w:pPr>
        <w:spacing w:after="0" w:line="360" w:lineRule="auto"/>
        <w:ind w:firstLine="709"/>
        <w:jc w:val="both"/>
        <w:rPr>
          <w:rFonts w:eastAsiaTheme="minorEastAsia"/>
          <w:bCs/>
          <w:iCs/>
          <w:sz w:val="28"/>
          <w:szCs w:val="28"/>
          <w:lang w:val="uk-UA" w:eastAsia="zh-CN"/>
        </w:rPr>
      </w:pPr>
      <w:r w:rsidRPr="008949C9">
        <w:rPr>
          <w:rFonts w:eastAsiaTheme="minorEastAsia"/>
          <w:bCs/>
          <w:sz w:val="28"/>
          <w:szCs w:val="28"/>
          <w:lang w:val="en-US" w:eastAsia="zh-CN"/>
        </w:rPr>
        <w:t xml:space="preserve">In the </w:t>
      </w:r>
      <w:r w:rsidRPr="008949C9">
        <w:rPr>
          <w:rFonts w:eastAsiaTheme="minorEastAsia"/>
          <w:b/>
          <w:bCs/>
          <w:sz w:val="28"/>
          <w:szCs w:val="28"/>
          <w:lang w:val="en-US" w:eastAsia="zh-CN"/>
        </w:rPr>
        <w:t xml:space="preserve">prospect </w:t>
      </w:r>
      <w:r w:rsidRPr="008949C9">
        <w:rPr>
          <w:rFonts w:eastAsiaTheme="minorEastAsia"/>
          <w:bCs/>
          <w:sz w:val="28"/>
          <w:szCs w:val="28"/>
          <w:lang w:val="en-US" w:eastAsia="zh-CN"/>
        </w:rPr>
        <w:t xml:space="preserve">of further research </w:t>
      </w:r>
      <w:r>
        <w:rPr>
          <w:rFonts w:eastAsiaTheme="minorEastAsia"/>
          <w:bCs/>
          <w:sz w:val="28"/>
          <w:szCs w:val="28"/>
          <w:lang w:val="en-US" w:eastAsia="zh-CN"/>
        </w:rPr>
        <w:t xml:space="preserve">it </w:t>
      </w:r>
      <w:r w:rsidRPr="008949C9">
        <w:rPr>
          <w:rFonts w:eastAsiaTheme="minorEastAsia"/>
          <w:bCs/>
          <w:sz w:val="28"/>
          <w:szCs w:val="28"/>
          <w:lang w:val="en-US" w:eastAsia="zh-CN"/>
        </w:rPr>
        <w:t xml:space="preserve">is planned to increase the number of patients and to examine the impact of DENS-therapy on the other parameters of </w:t>
      </w:r>
      <w:proofErr w:type="spellStart"/>
      <w:r w:rsidRPr="008949C9">
        <w:rPr>
          <w:rFonts w:eastAsiaTheme="minorEastAsia"/>
          <w:bCs/>
          <w:sz w:val="28"/>
          <w:szCs w:val="28"/>
          <w:lang w:val="en-US" w:eastAsia="zh-CN"/>
        </w:rPr>
        <w:t>tro</w:t>
      </w:r>
      <w:r>
        <w:rPr>
          <w:rFonts w:eastAsiaTheme="minorEastAsia"/>
          <w:bCs/>
          <w:sz w:val="28"/>
          <w:szCs w:val="28"/>
          <w:lang w:val="en-US" w:eastAsia="zh-CN"/>
        </w:rPr>
        <w:t>ph</w:t>
      </w:r>
      <w:r w:rsidRPr="008949C9">
        <w:rPr>
          <w:rFonts w:eastAsiaTheme="minorEastAsia"/>
          <w:bCs/>
          <w:sz w:val="28"/>
          <w:szCs w:val="28"/>
          <w:lang w:val="en-US" w:eastAsia="zh-CN"/>
        </w:rPr>
        <w:t>ological</w:t>
      </w:r>
      <w:proofErr w:type="spellEnd"/>
      <w:r w:rsidRPr="008949C9">
        <w:rPr>
          <w:rFonts w:eastAsiaTheme="minorEastAsia"/>
          <w:bCs/>
          <w:sz w:val="28"/>
          <w:szCs w:val="28"/>
          <w:lang w:val="en-US" w:eastAsia="zh-CN"/>
        </w:rPr>
        <w:t xml:space="preserve"> status in patients with CP.</w:t>
      </w:r>
      <w:r w:rsidR="00410139">
        <w:rPr>
          <w:rFonts w:eastAsiaTheme="minorEastAsia"/>
          <w:bCs/>
          <w:iCs/>
          <w:sz w:val="28"/>
          <w:szCs w:val="28"/>
          <w:lang w:val="uk-UA" w:eastAsia="zh-CN"/>
        </w:rPr>
        <w:br w:type="page"/>
      </w:r>
    </w:p>
    <w:p w:rsidR="00410139" w:rsidRPr="008949C9" w:rsidRDefault="008949C9" w:rsidP="00410139">
      <w:pPr>
        <w:spacing w:after="0" w:line="360" w:lineRule="auto"/>
        <w:jc w:val="center"/>
        <w:rPr>
          <w:rFonts w:eastAsiaTheme="minorEastAsia"/>
          <w:b/>
          <w:bCs/>
          <w:sz w:val="28"/>
          <w:szCs w:val="28"/>
          <w:lang w:val="en-US" w:eastAsia="zh-CN"/>
        </w:rPr>
      </w:pPr>
      <w:r>
        <w:rPr>
          <w:rFonts w:eastAsiaTheme="minorEastAsia"/>
          <w:b/>
          <w:bCs/>
          <w:sz w:val="28"/>
          <w:szCs w:val="28"/>
          <w:lang w:val="en-US" w:eastAsia="zh-CN"/>
        </w:rPr>
        <w:lastRenderedPageBreak/>
        <w:t>References</w:t>
      </w:r>
    </w:p>
    <w:p w:rsidR="00CF1386" w:rsidRPr="00410139" w:rsidRDefault="00CF1386" w:rsidP="00410139">
      <w:pPr>
        <w:numPr>
          <w:ilvl w:val="0"/>
          <w:numId w:val="1"/>
        </w:numPr>
        <w:spacing w:after="0" w:line="360" w:lineRule="auto"/>
        <w:jc w:val="both"/>
        <w:rPr>
          <w:rFonts w:eastAsiaTheme="minorEastAsia"/>
          <w:bCs/>
          <w:sz w:val="28"/>
          <w:szCs w:val="28"/>
          <w:lang w:val="uk-UA" w:eastAsia="zh-CN"/>
        </w:rPr>
      </w:pPr>
      <w:bookmarkStart w:id="0" w:name="_Ref381091400"/>
      <w:proofErr w:type="spellStart"/>
      <w:r w:rsidRPr="00410139">
        <w:rPr>
          <w:rFonts w:eastAsiaTheme="minorEastAsia"/>
          <w:bCs/>
          <w:sz w:val="28"/>
          <w:szCs w:val="28"/>
          <w:lang w:val="uk-UA" w:eastAsia="zh-CN"/>
        </w:rPr>
        <w:t>Бабінець</w:t>
      </w:r>
      <w:proofErr w:type="spellEnd"/>
      <w:r w:rsidRPr="00410139">
        <w:rPr>
          <w:rFonts w:eastAsiaTheme="minorEastAsia"/>
          <w:bCs/>
          <w:sz w:val="28"/>
          <w:szCs w:val="28"/>
          <w:lang w:val="uk-UA" w:eastAsia="zh-CN"/>
        </w:rPr>
        <w:t xml:space="preserve"> Л.</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С. Переваги поєднаного використання </w:t>
      </w:r>
      <w:proofErr w:type="spellStart"/>
      <w:r w:rsidRPr="00410139">
        <w:rPr>
          <w:rFonts w:eastAsiaTheme="minorEastAsia"/>
          <w:bCs/>
          <w:sz w:val="28"/>
          <w:szCs w:val="28"/>
          <w:lang w:val="uk-UA" w:eastAsia="zh-CN"/>
        </w:rPr>
        <w:t>рефлексотерапії</w:t>
      </w:r>
      <w:proofErr w:type="spellEnd"/>
      <w:r w:rsidRPr="00410139">
        <w:rPr>
          <w:rFonts w:eastAsiaTheme="minorEastAsia"/>
          <w:bCs/>
          <w:sz w:val="28"/>
          <w:szCs w:val="28"/>
          <w:lang w:val="uk-UA" w:eastAsia="zh-CN"/>
        </w:rPr>
        <w:t xml:space="preserve"> та гомеопатії в комплексному лікуванні хворих на хронічний панкреатит / Л.</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С. </w:t>
      </w:r>
      <w:proofErr w:type="spellStart"/>
      <w:r w:rsidRPr="00410139">
        <w:rPr>
          <w:rFonts w:eastAsiaTheme="minorEastAsia"/>
          <w:bCs/>
          <w:sz w:val="28"/>
          <w:szCs w:val="28"/>
          <w:lang w:val="uk-UA" w:eastAsia="zh-CN"/>
        </w:rPr>
        <w:t>Бабінець</w:t>
      </w:r>
      <w:proofErr w:type="spellEnd"/>
      <w:r w:rsidRPr="00410139">
        <w:rPr>
          <w:rFonts w:eastAsiaTheme="minorEastAsia"/>
          <w:bCs/>
          <w:sz w:val="28"/>
          <w:szCs w:val="28"/>
          <w:lang w:val="uk-UA" w:eastAsia="zh-CN"/>
        </w:rPr>
        <w:t xml:space="preserve"> // Архів </w:t>
      </w:r>
      <w:proofErr w:type="spellStart"/>
      <w:r w:rsidRPr="00410139">
        <w:rPr>
          <w:rFonts w:eastAsiaTheme="minorEastAsia"/>
          <w:bCs/>
          <w:sz w:val="28"/>
          <w:szCs w:val="28"/>
          <w:lang w:val="uk-UA" w:eastAsia="zh-CN"/>
        </w:rPr>
        <w:t>клін</w:t>
      </w:r>
      <w:proofErr w:type="spellEnd"/>
      <w:r w:rsidRPr="00410139">
        <w:rPr>
          <w:rFonts w:eastAsiaTheme="minorEastAsia"/>
          <w:bCs/>
          <w:sz w:val="28"/>
          <w:szCs w:val="28"/>
          <w:lang w:val="uk-UA" w:eastAsia="zh-CN"/>
        </w:rPr>
        <w:t xml:space="preserve">. мед. </w:t>
      </w:r>
      <w:r>
        <w:rPr>
          <w:rFonts w:eastAsiaTheme="minorEastAsia"/>
          <w:bCs/>
          <w:sz w:val="28"/>
          <w:szCs w:val="28"/>
          <w:lang w:val="uk-UA" w:eastAsia="zh-CN"/>
        </w:rPr>
        <w:t>―</w:t>
      </w:r>
      <w:r w:rsidRPr="00410139">
        <w:rPr>
          <w:rFonts w:eastAsiaTheme="minorEastAsia"/>
          <w:bCs/>
          <w:sz w:val="28"/>
          <w:szCs w:val="28"/>
          <w:lang w:val="uk-UA" w:eastAsia="zh-CN"/>
        </w:rPr>
        <w:t xml:space="preserve"> 2005. </w:t>
      </w:r>
      <w:r>
        <w:rPr>
          <w:rFonts w:eastAsiaTheme="minorEastAsia"/>
          <w:bCs/>
          <w:sz w:val="28"/>
          <w:szCs w:val="28"/>
          <w:lang w:val="uk-UA" w:eastAsia="zh-CN"/>
        </w:rPr>
        <w:t>―</w:t>
      </w:r>
      <w:r w:rsidRPr="00410139">
        <w:rPr>
          <w:rFonts w:eastAsiaTheme="minorEastAsia"/>
          <w:bCs/>
          <w:sz w:val="28"/>
          <w:szCs w:val="28"/>
          <w:lang w:val="uk-UA" w:eastAsia="zh-CN"/>
        </w:rPr>
        <w:t xml:space="preserve"> №</w:t>
      </w:r>
      <w:r>
        <w:rPr>
          <w:rFonts w:eastAsiaTheme="minorEastAsia"/>
          <w:bCs/>
          <w:sz w:val="28"/>
          <w:szCs w:val="28"/>
          <w:lang w:val="uk-UA" w:eastAsia="zh-CN"/>
        </w:rPr>
        <w:t xml:space="preserve"> </w:t>
      </w:r>
      <w:r w:rsidRPr="00410139">
        <w:rPr>
          <w:rFonts w:eastAsiaTheme="minorEastAsia"/>
          <w:bCs/>
          <w:sz w:val="28"/>
          <w:szCs w:val="28"/>
          <w:lang w:val="uk-UA" w:eastAsia="zh-CN"/>
        </w:rPr>
        <w:t>2</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(8). </w:t>
      </w:r>
      <w:r>
        <w:rPr>
          <w:rFonts w:eastAsiaTheme="minorEastAsia"/>
          <w:bCs/>
          <w:sz w:val="28"/>
          <w:szCs w:val="28"/>
          <w:lang w:val="uk-UA" w:eastAsia="zh-CN"/>
        </w:rPr>
        <w:t>―</w:t>
      </w:r>
      <w:r w:rsidRPr="00410139">
        <w:rPr>
          <w:rFonts w:eastAsiaTheme="minorEastAsia"/>
          <w:bCs/>
          <w:sz w:val="28"/>
          <w:szCs w:val="28"/>
          <w:lang w:val="uk-UA" w:eastAsia="zh-CN"/>
        </w:rPr>
        <w:t xml:space="preserve"> С. 42</w:t>
      </w:r>
      <w:r>
        <w:rPr>
          <w:rFonts w:eastAsiaTheme="minorEastAsia"/>
          <w:bCs/>
          <w:sz w:val="28"/>
          <w:szCs w:val="28"/>
          <w:lang w:val="uk-UA" w:eastAsia="zh-CN"/>
        </w:rPr>
        <w:sym w:font="Symbol" w:char="F02D"/>
      </w:r>
      <w:r w:rsidRPr="00410139">
        <w:rPr>
          <w:rFonts w:eastAsiaTheme="minorEastAsia"/>
          <w:bCs/>
          <w:sz w:val="28"/>
          <w:szCs w:val="28"/>
          <w:lang w:val="uk-UA" w:eastAsia="zh-CN"/>
        </w:rPr>
        <w:t>44.</w:t>
      </w:r>
      <w:bookmarkEnd w:id="0"/>
    </w:p>
    <w:p w:rsidR="00CF1386" w:rsidRPr="00410139" w:rsidRDefault="00CF1386" w:rsidP="00410139">
      <w:pPr>
        <w:numPr>
          <w:ilvl w:val="0"/>
          <w:numId w:val="1"/>
        </w:numPr>
        <w:spacing w:after="0" w:line="360" w:lineRule="auto"/>
        <w:jc w:val="both"/>
        <w:rPr>
          <w:rFonts w:eastAsiaTheme="minorEastAsia"/>
          <w:bCs/>
          <w:sz w:val="28"/>
          <w:szCs w:val="28"/>
          <w:lang w:val="uk-UA" w:eastAsia="zh-CN"/>
        </w:rPr>
      </w:pPr>
      <w:bookmarkStart w:id="1" w:name="_Ref381091730"/>
      <w:proofErr w:type="spellStart"/>
      <w:r w:rsidRPr="00410139">
        <w:rPr>
          <w:rFonts w:eastAsiaTheme="minorEastAsia"/>
          <w:bCs/>
          <w:sz w:val="28"/>
          <w:szCs w:val="28"/>
          <w:lang w:val="uk-UA" w:eastAsia="zh-CN"/>
        </w:rPr>
        <w:t>Бримкулов</w:t>
      </w:r>
      <w:proofErr w:type="spellEnd"/>
      <w:r w:rsidRPr="00410139">
        <w:rPr>
          <w:rFonts w:eastAsiaTheme="minorEastAsia"/>
          <w:bCs/>
          <w:sz w:val="28"/>
          <w:szCs w:val="28"/>
          <w:lang w:val="uk-UA" w:eastAsia="zh-CN"/>
        </w:rPr>
        <w:t xml:space="preserve"> Н.</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Н. </w:t>
      </w:r>
      <w:proofErr w:type="spellStart"/>
      <w:r w:rsidRPr="00410139">
        <w:rPr>
          <w:rFonts w:eastAsiaTheme="minorEastAsia"/>
          <w:bCs/>
          <w:sz w:val="28"/>
          <w:szCs w:val="28"/>
          <w:lang w:val="uk-UA" w:eastAsia="zh-CN"/>
        </w:rPr>
        <w:t>Применение</w:t>
      </w:r>
      <w:proofErr w:type="spellEnd"/>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опросника</w:t>
      </w:r>
      <w:proofErr w:type="spellEnd"/>
      <w:r w:rsidRPr="00410139">
        <w:rPr>
          <w:rFonts w:eastAsiaTheme="minorEastAsia"/>
          <w:bCs/>
          <w:sz w:val="28"/>
          <w:szCs w:val="28"/>
          <w:lang w:val="uk-UA" w:eastAsia="zh-CN"/>
        </w:rPr>
        <w:t xml:space="preserve"> </w:t>
      </w:r>
      <w:r w:rsidRPr="00410139">
        <w:rPr>
          <w:rFonts w:eastAsiaTheme="minorEastAsia"/>
          <w:bCs/>
          <w:sz w:val="28"/>
          <w:szCs w:val="28"/>
          <w:lang w:val="en-US" w:eastAsia="zh-CN"/>
        </w:rPr>
        <w:t>SF</w:t>
      </w:r>
      <w:r w:rsidRPr="00410139">
        <w:rPr>
          <w:rFonts w:eastAsiaTheme="minorEastAsia"/>
          <w:bCs/>
          <w:sz w:val="28"/>
          <w:szCs w:val="28"/>
          <w:lang w:val="uk-UA" w:eastAsia="zh-CN"/>
        </w:rPr>
        <w:t xml:space="preserve">-36 для </w:t>
      </w:r>
      <w:proofErr w:type="spellStart"/>
      <w:r w:rsidRPr="00410139">
        <w:rPr>
          <w:rFonts w:eastAsiaTheme="minorEastAsia"/>
          <w:bCs/>
          <w:sz w:val="28"/>
          <w:szCs w:val="28"/>
          <w:lang w:val="uk-UA" w:eastAsia="zh-CN"/>
        </w:rPr>
        <w:t>оценки</w:t>
      </w:r>
      <w:proofErr w:type="spellEnd"/>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качества</w:t>
      </w:r>
      <w:proofErr w:type="spellEnd"/>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жизни</w:t>
      </w:r>
      <w:proofErr w:type="spellEnd"/>
      <w:r w:rsidRPr="00410139">
        <w:rPr>
          <w:rFonts w:eastAsiaTheme="minorEastAsia"/>
          <w:bCs/>
          <w:sz w:val="28"/>
          <w:szCs w:val="28"/>
          <w:lang w:val="uk-UA" w:eastAsia="zh-CN"/>
        </w:rPr>
        <w:t xml:space="preserve"> / Н.</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Н. </w:t>
      </w:r>
      <w:proofErr w:type="spellStart"/>
      <w:r w:rsidRPr="00410139">
        <w:rPr>
          <w:rFonts w:eastAsiaTheme="minorEastAsia"/>
          <w:bCs/>
          <w:sz w:val="28"/>
          <w:szCs w:val="28"/>
          <w:lang w:val="uk-UA" w:eastAsia="zh-CN"/>
        </w:rPr>
        <w:t>Бримкулов</w:t>
      </w:r>
      <w:proofErr w:type="spellEnd"/>
      <w:r w:rsidRPr="00410139">
        <w:rPr>
          <w:rFonts w:eastAsiaTheme="minorEastAsia"/>
          <w:bCs/>
          <w:sz w:val="28"/>
          <w:szCs w:val="28"/>
          <w:lang w:val="uk-UA" w:eastAsia="zh-CN"/>
        </w:rPr>
        <w:t>, Н.</w:t>
      </w:r>
      <w:r>
        <w:rPr>
          <w:rFonts w:eastAsiaTheme="minorEastAsia"/>
          <w:bCs/>
          <w:sz w:val="28"/>
          <w:szCs w:val="28"/>
          <w:lang w:val="uk-UA" w:eastAsia="zh-CN"/>
        </w:rPr>
        <w:t xml:space="preserve"> </w:t>
      </w:r>
      <w:r w:rsidRPr="00410139">
        <w:rPr>
          <w:rFonts w:eastAsiaTheme="minorEastAsia"/>
          <w:bCs/>
          <w:sz w:val="28"/>
          <w:szCs w:val="28"/>
          <w:lang w:val="uk-UA" w:eastAsia="zh-CN"/>
        </w:rPr>
        <w:t>Ю. Сенкевич, А.</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Д. </w:t>
      </w:r>
      <w:proofErr w:type="spellStart"/>
      <w:r w:rsidRPr="00410139">
        <w:rPr>
          <w:rFonts w:eastAsiaTheme="minorEastAsia"/>
          <w:bCs/>
          <w:sz w:val="28"/>
          <w:szCs w:val="28"/>
          <w:lang w:val="uk-UA" w:eastAsia="zh-CN"/>
        </w:rPr>
        <w:t>Калиева</w:t>
      </w:r>
      <w:proofErr w:type="spellEnd"/>
      <w:r w:rsidRPr="00410139">
        <w:rPr>
          <w:rFonts w:eastAsiaTheme="minorEastAsia"/>
          <w:bCs/>
          <w:sz w:val="28"/>
          <w:szCs w:val="28"/>
          <w:lang w:val="uk-UA" w:eastAsia="zh-CN"/>
        </w:rPr>
        <w:t xml:space="preserve"> // </w:t>
      </w:r>
      <w:proofErr w:type="spellStart"/>
      <w:r w:rsidRPr="00410139">
        <w:rPr>
          <w:rFonts w:eastAsiaTheme="minorEastAsia"/>
          <w:bCs/>
          <w:sz w:val="28"/>
          <w:szCs w:val="28"/>
          <w:lang w:val="uk-UA" w:eastAsia="zh-CN"/>
        </w:rPr>
        <w:t>Центрально-азиатский</w:t>
      </w:r>
      <w:proofErr w:type="spellEnd"/>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медицинский</w:t>
      </w:r>
      <w:proofErr w:type="spellEnd"/>
      <w:r w:rsidRPr="00410139">
        <w:rPr>
          <w:rFonts w:eastAsiaTheme="minorEastAsia"/>
          <w:bCs/>
          <w:sz w:val="28"/>
          <w:szCs w:val="28"/>
          <w:lang w:val="uk-UA" w:eastAsia="zh-CN"/>
        </w:rPr>
        <w:t xml:space="preserve"> журнал. </w:t>
      </w:r>
      <w:r>
        <w:rPr>
          <w:rFonts w:eastAsiaTheme="minorEastAsia"/>
          <w:bCs/>
          <w:sz w:val="28"/>
          <w:szCs w:val="28"/>
          <w:lang w:val="uk-UA" w:eastAsia="zh-CN"/>
        </w:rPr>
        <w:t>―</w:t>
      </w:r>
      <w:r w:rsidRPr="00410139">
        <w:rPr>
          <w:rFonts w:eastAsiaTheme="minorEastAsia"/>
          <w:bCs/>
          <w:sz w:val="28"/>
          <w:szCs w:val="28"/>
          <w:lang w:val="uk-UA" w:eastAsia="zh-CN"/>
        </w:rPr>
        <w:t xml:space="preserve"> 1998. </w:t>
      </w:r>
      <w:r>
        <w:rPr>
          <w:rFonts w:eastAsiaTheme="minorEastAsia"/>
          <w:bCs/>
          <w:sz w:val="28"/>
          <w:szCs w:val="28"/>
          <w:lang w:val="uk-UA" w:eastAsia="zh-CN"/>
        </w:rPr>
        <w:t>―</w:t>
      </w:r>
      <w:r w:rsidRPr="00410139">
        <w:rPr>
          <w:rFonts w:eastAsiaTheme="minorEastAsia"/>
          <w:bCs/>
          <w:sz w:val="28"/>
          <w:szCs w:val="28"/>
          <w:lang w:val="uk-UA" w:eastAsia="zh-CN"/>
        </w:rPr>
        <w:t xml:space="preserve"> № 4</w:t>
      </w:r>
      <w:r>
        <w:rPr>
          <w:rFonts w:eastAsiaTheme="minorEastAsia"/>
          <w:bCs/>
          <w:sz w:val="28"/>
          <w:szCs w:val="28"/>
          <w:lang w:val="uk-UA" w:eastAsia="zh-CN"/>
        </w:rPr>
        <w:sym w:font="Symbol" w:char="F02D"/>
      </w:r>
      <w:r w:rsidRPr="00410139">
        <w:rPr>
          <w:rFonts w:eastAsiaTheme="minorEastAsia"/>
          <w:bCs/>
          <w:sz w:val="28"/>
          <w:szCs w:val="28"/>
          <w:lang w:val="uk-UA" w:eastAsia="zh-CN"/>
        </w:rPr>
        <w:t>5.</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 </w:t>
      </w:r>
      <w:r>
        <w:rPr>
          <w:rFonts w:eastAsiaTheme="minorEastAsia"/>
          <w:bCs/>
          <w:sz w:val="28"/>
          <w:szCs w:val="28"/>
          <w:lang w:val="uk-UA" w:eastAsia="zh-CN"/>
        </w:rPr>
        <w:t>С. 236</w:t>
      </w:r>
      <w:r>
        <w:rPr>
          <w:rFonts w:eastAsiaTheme="minorEastAsia"/>
          <w:bCs/>
          <w:sz w:val="28"/>
          <w:szCs w:val="28"/>
          <w:lang w:val="uk-UA" w:eastAsia="zh-CN"/>
        </w:rPr>
        <w:sym w:font="Symbol" w:char="F02D"/>
      </w:r>
      <w:r w:rsidRPr="00410139">
        <w:rPr>
          <w:rFonts w:eastAsiaTheme="minorEastAsia"/>
          <w:bCs/>
          <w:sz w:val="28"/>
          <w:szCs w:val="28"/>
          <w:lang w:val="uk-UA" w:eastAsia="zh-CN"/>
        </w:rPr>
        <w:t>241.</w:t>
      </w:r>
      <w:bookmarkEnd w:id="1"/>
    </w:p>
    <w:p w:rsidR="00CF1386" w:rsidRPr="00410139" w:rsidRDefault="00CF1386" w:rsidP="00410139">
      <w:pPr>
        <w:numPr>
          <w:ilvl w:val="0"/>
          <w:numId w:val="1"/>
        </w:numPr>
        <w:spacing w:after="0" w:line="360" w:lineRule="auto"/>
        <w:jc w:val="both"/>
        <w:rPr>
          <w:rFonts w:eastAsiaTheme="minorEastAsia"/>
          <w:bCs/>
          <w:sz w:val="28"/>
          <w:szCs w:val="28"/>
          <w:lang w:val="uk-UA" w:eastAsia="zh-CN"/>
        </w:rPr>
      </w:pPr>
      <w:bookmarkStart w:id="2" w:name="_Ref381091649"/>
      <w:r w:rsidRPr="00410139">
        <w:rPr>
          <w:rFonts w:eastAsiaTheme="minorEastAsia"/>
          <w:bCs/>
          <w:sz w:val="28"/>
          <w:szCs w:val="28"/>
          <w:lang w:val="uk-UA" w:eastAsia="zh-CN"/>
        </w:rPr>
        <w:t>Губергриц Н.</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Б. </w:t>
      </w:r>
      <w:proofErr w:type="spellStart"/>
      <w:r w:rsidRPr="00410139">
        <w:rPr>
          <w:rFonts w:eastAsiaTheme="minorEastAsia"/>
          <w:bCs/>
          <w:sz w:val="28"/>
          <w:szCs w:val="28"/>
          <w:lang w:val="uk-UA" w:eastAsia="zh-CN"/>
        </w:rPr>
        <w:t>Хронический</w:t>
      </w:r>
      <w:proofErr w:type="spellEnd"/>
      <w:r w:rsidRPr="00410139">
        <w:rPr>
          <w:rFonts w:eastAsiaTheme="minorEastAsia"/>
          <w:bCs/>
          <w:sz w:val="28"/>
          <w:szCs w:val="28"/>
          <w:lang w:val="uk-UA" w:eastAsia="zh-CN"/>
        </w:rPr>
        <w:t xml:space="preserve"> панкреатит: </w:t>
      </w:r>
      <w:proofErr w:type="spellStart"/>
      <w:r w:rsidRPr="00410139">
        <w:rPr>
          <w:rFonts w:eastAsiaTheme="minorEastAsia"/>
          <w:bCs/>
          <w:sz w:val="28"/>
          <w:szCs w:val="28"/>
          <w:lang w:val="uk-UA" w:eastAsia="zh-CN"/>
        </w:rPr>
        <w:t>лечение</w:t>
      </w:r>
      <w:proofErr w:type="spellEnd"/>
      <w:r w:rsidRPr="00410139">
        <w:rPr>
          <w:rFonts w:eastAsiaTheme="minorEastAsia"/>
          <w:bCs/>
          <w:sz w:val="28"/>
          <w:szCs w:val="28"/>
          <w:lang w:val="uk-UA" w:eastAsia="zh-CN"/>
        </w:rPr>
        <w:t xml:space="preserve"> // Лікування та діагностика. </w:t>
      </w:r>
      <w:r>
        <w:rPr>
          <w:rFonts w:eastAsiaTheme="minorEastAsia"/>
          <w:bCs/>
          <w:sz w:val="28"/>
          <w:szCs w:val="28"/>
          <w:lang w:val="uk-UA" w:eastAsia="zh-CN"/>
        </w:rPr>
        <w:t>―</w:t>
      </w:r>
      <w:r w:rsidRPr="00410139">
        <w:rPr>
          <w:rFonts w:eastAsiaTheme="minorEastAsia"/>
          <w:bCs/>
          <w:sz w:val="28"/>
          <w:szCs w:val="28"/>
          <w:lang w:val="uk-UA" w:eastAsia="zh-CN"/>
        </w:rPr>
        <w:t xml:space="preserve"> 2003. </w:t>
      </w:r>
      <w:r>
        <w:rPr>
          <w:rFonts w:eastAsiaTheme="minorEastAsia"/>
          <w:bCs/>
          <w:sz w:val="28"/>
          <w:szCs w:val="28"/>
          <w:lang w:val="uk-UA" w:eastAsia="zh-CN"/>
        </w:rPr>
        <w:t xml:space="preserve">― </w:t>
      </w:r>
      <w:r w:rsidRPr="00410139">
        <w:rPr>
          <w:rFonts w:eastAsiaTheme="minorEastAsia"/>
          <w:bCs/>
          <w:sz w:val="28"/>
          <w:szCs w:val="28"/>
          <w:lang w:val="uk-UA" w:eastAsia="zh-CN"/>
        </w:rPr>
        <w:t>№</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1. </w:t>
      </w:r>
      <w:r>
        <w:rPr>
          <w:rFonts w:eastAsiaTheme="minorEastAsia"/>
          <w:bCs/>
          <w:sz w:val="28"/>
          <w:szCs w:val="28"/>
          <w:lang w:val="uk-UA" w:eastAsia="zh-CN"/>
        </w:rPr>
        <w:t>―</w:t>
      </w:r>
      <w:r w:rsidRPr="00410139">
        <w:rPr>
          <w:rFonts w:eastAsiaTheme="minorEastAsia"/>
          <w:bCs/>
          <w:sz w:val="28"/>
          <w:szCs w:val="28"/>
          <w:lang w:val="uk-UA" w:eastAsia="zh-CN"/>
        </w:rPr>
        <w:t xml:space="preserve"> С. 47</w:t>
      </w:r>
      <w:r>
        <w:rPr>
          <w:rFonts w:eastAsiaTheme="minorEastAsia"/>
          <w:bCs/>
          <w:sz w:val="28"/>
          <w:szCs w:val="28"/>
          <w:lang w:val="uk-UA" w:eastAsia="zh-CN"/>
        </w:rPr>
        <w:sym w:font="Symbol" w:char="F02D"/>
      </w:r>
      <w:r w:rsidRPr="00410139">
        <w:rPr>
          <w:rFonts w:eastAsiaTheme="minorEastAsia"/>
          <w:bCs/>
          <w:sz w:val="28"/>
          <w:szCs w:val="28"/>
          <w:lang w:val="uk-UA" w:eastAsia="zh-CN"/>
        </w:rPr>
        <w:t>58.</w:t>
      </w:r>
      <w:bookmarkEnd w:id="2"/>
    </w:p>
    <w:p w:rsidR="00CF1386" w:rsidRPr="00410139" w:rsidRDefault="00CF1386" w:rsidP="00410139">
      <w:pPr>
        <w:numPr>
          <w:ilvl w:val="0"/>
          <w:numId w:val="1"/>
        </w:numPr>
        <w:spacing w:after="0" w:line="360" w:lineRule="auto"/>
        <w:jc w:val="both"/>
        <w:rPr>
          <w:rFonts w:eastAsiaTheme="minorEastAsia"/>
          <w:bCs/>
          <w:sz w:val="28"/>
          <w:szCs w:val="28"/>
          <w:lang w:val="uk-UA" w:eastAsia="zh-CN"/>
        </w:rPr>
      </w:pPr>
      <w:bookmarkStart w:id="3" w:name="_Ref381091461"/>
      <w:proofErr w:type="spellStart"/>
      <w:r w:rsidRPr="00410139">
        <w:rPr>
          <w:rFonts w:eastAsiaTheme="minorEastAsia"/>
          <w:bCs/>
          <w:sz w:val="28"/>
          <w:szCs w:val="28"/>
          <w:lang w:val="uk-UA" w:eastAsia="zh-CN"/>
        </w:rPr>
        <w:t>ДиаДЭНС</w:t>
      </w:r>
      <w:proofErr w:type="spellEnd"/>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Руководство</w:t>
      </w:r>
      <w:proofErr w:type="spellEnd"/>
      <w:r w:rsidRPr="00410139">
        <w:rPr>
          <w:rFonts w:eastAsiaTheme="minorEastAsia"/>
          <w:bCs/>
          <w:sz w:val="28"/>
          <w:szCs w:val="28"/>
          <w:lang w:val="uk-UA" w:eastAsia="zh-CN"/>
        </w:rPr>
        <w:t xml:space="preserve"> по </w:t>
      </w:r>
      <w:proofErr w:type="spellStart"/>
      <w:r w:rsidRPr="00410139">
        <w:rPr>
          <w:rFonts w:eastAsiaTheme="minorEastAsia"/>
          <w:bCs/>
          <w:sz w:val="28"/>
          <w:szCs w:val="28"/>
          <w:lang w:val="uk-UA" w:eastAsia="zh-CN"/>
        </w:rPr>
        <w:t>динамической</w:t>
      </w:r>
      <w:proofErr w:type="spellEnd"/>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электронейростимуляции</w:t>
      </w:r>
      <w:proofErr w:type="spellEnd"/>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аппаратами</w:t>
      </w:r>
      <w:proofErr w:type="spellEnd"/>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ДиаДЭНС-Т</w:t>
      </w:r>
      <w:proofErr w:type="spellEnd"/>
      <w:r w:rsidRPr="00410139">
        <w:rPr>
          <w:rFonts w:eastAsiaTheme="minorEastAsia"/>
          <w:bCs/>
          <w:sz w:val="28"/>
          <w:szCs w:val="28"/>
          <w:lang w:val="uk-UA" w:eastAsia="zh-CN"/>
        </w:rPr>
        <w:t xml:space="preserve"> и </w:t>
      </w:r>
      <w:proofErr w:type="spellStart"/>
      <w:r w:rsidRPr="00410139">
        <w:rPr>
          <w:rFonts w:eastAsiaTheme="minorEastAsia"/>
          <w:bCs/>
          <w:sz w:val="28"/>
          <w:szCs w:val="28"/>
          <w:lang w:val="uk-UA" w:eastAsia="zh-CN"/>
        </w:rPr>
        <w:t>ДиаДЭНС-ДТ</w:t>
      </w:r>
      <w:proofErr w:type="spellEnd"/>
      <w:r w:rsidRPr="00410139">
        <w:rPr>
          <w:rFonts w:eastAsiaTheme="minorEastAsia"/>
          <w:bCs/>
          <w:sz w:val="28"/>
          <w:szCs w:val="28"/>
          <w:lang w:val="uk-UA" w:eastAsia="zh-CN"/>
        </w:rPr>
        <w:t xml:space="preserve"> / </w:t>
      </w:r>
      <w:proofErr w:type="spellStart"/>
      <w:r w:rsidRPr="00410139">
        <w:rPr>
          <w:rFonts w:eastAsiaTheme="minorEastAsia"/>
          <w:bCs/>
          <w:sz w:val="28"/>
          <w:szCs w:val="28"/>
          <w:lang w:val="uk-UA" w:eastAsia="zh-CN"/>
        </w:rPr>
        <w:t>Под</w:t>
      </w:r>
      <w:proofErr w:type="spellEnd"/>
      <w:r w:rsidRPr="00410139">
        <w:rPr>
          <w:rFonts w:eastAsiaTheme="minorEastAsia"/>
          <w:bCs/>
          <w:sz w:val="28"/>
          <w:szCs w:val="28"/>
          <w:lang w:val="uk-UA" w:eastAsia="zh-CN"/>
        </w:rPr>
        <w:t xml:space="preserve"> ред. В.</w:t>
      </w:r>
      <w:r>
        <w:rPr>
          <w:rFonts w:eastAsiaTheme="minorEastAsia"/>
          <w:bCs/>
          <w:sz w:val="28"/>
          <w:szCs w:val="28"/>
          <w:lang w:val="uk-UA" w:eastAsia="zh-CN"/>
        </w:rPr>
        <w:t xml:space="preserve"> </w:t>
      </w:r>
      <w:r w:rsidRPr="00410139">
        <w:rPr>
          <w:rFonts w:eastAsiaTheme="minorEastAsia"/>
          <w:bCs/>
          <w:sz w:val="28"/>
          <w:szCs w:val="28"/>
          <w:lang w:val="uk-UA" w:eastAsia="zh-CN"/>
        </w:rPr>
        <w:t xml:space="preserve">В. </w:t>
      </w:r>
      <w:proofErr w:type="spellStart"/>
      <w:r w:rsidRPr="00410139">
        <w:rPr>
          <w:rFonts w:eastAsiaTheme="minorEastAsia"/>
          <w:bCs/>
          <w:sz w:val="28"/>
          <w:szCs w:val="28"/>
          <w:lang w:val="uk-UA" w:eastAsia="zh-CN"/>
        </w:rPr>
        <w:t>Чернышева</w:t>
      </w:r>
      <w:proofErr w:type="spellEnd"/>
      <w:r w:rsidRPr="00410139">
        <w:rPr>
          <w:rFonts w:eastAsiaTheme="minorEastAsia"/>
          <w:bCs/>
          <w:sz w:val="28"/>
          <w:szCs w:val="28"/>
          <w:lang w:val="uk-UA" w:eastAsia="zh-CN"/>
        </w:rPr>
        <w:t xml:space="preserve">. </w:t>
      </w:r>
      <w:r>
        <w:rPr>
          <w:rFonts w:eastAsiaTheme="minorEastAsia"/>
          <w:bCs/>
          <w:sz w:val="28"/>
          <w:szCs w:val="28"/>
          <w:lang w:val="uk-UA" w:eastAsia="zh-CN"/>
        </w:rPr>
        <w:t>―</w:t>
      </w:r>
      <w:r w:rsidRPr="00410139">
        <w:rPr>
          <w:rFonts w:eastAsiaTheme="minorEastAsia"/>
          <w:bCs/>
          <w:sz w:val="28"/>
          <w:szCs w:val="28"/>
          <w:lang w:val="uk-UA" w:eastAsia="zh-CN"/>
        </w:rPr>
        <w:t xml:space="preserve"> </w:t>
      </w:r>
      <w:proofErr w:type="spellStart"/>
      <w:r w:rsidRPr="00410139">
        <w:rPr>
          <w:rFonts w:eastAsiaTheme="minorEastAsia"/>
          <w:bCs/>
          <w:sz w:val="28"/>
          <w:szCs w:val="28"/>
          <w:lang w:val="uk-UA" w:eastAsia="zh-CN"/>
        </w:rPr>
        <w:t>Екатеринбург</w:t>
      </w:r>
      <w:proofErr w:type="spellEnd"/>
      <w:r>
        <w:rPr>
          <w:rFonts w:eastAsiaTheme="minorEastAsia"/>
          <w:bCs/>
          <w:sz w:val="28"/>
          <w:szCs w:val="28"/>
          <w:lang w:val="uk-UA" w:eastAsia="zh-CN"/>
        </w:rPr>
        <w:t xml:space="preserve"> </w:t>
      </w:r>
      <w:r w:rsidRPr="00410139">
        <w:rPr>
          <w:rFonts w:eastAsiaTheme="minorEastAsia"/>
          <w:bCs/>
          <w:sz w:val="28"/>
          <w:szCs w:val="28"/>
          <w:lang w:val="uk-UA" w:eastAsia="zh-CN"/>
        </w:rPr>
        <w:t xml:space="preserve">: ООО «РЦ АРТ», 2005. </w:t>
      </w:r>
      <w:r>
        <w:rPr>
          <w:rFonts w:eastAsiaTheme="minorEastAsia"/>
          <w:bCs/>
          <w:sz w:val="28"/>
          <w:szCs w:val="28"/>
          <w:lang w:val="uk-UA" w:eastAsia="zh-CN"/>
        </w:rPr>
        <w:t>―</w:t>
      </w:r>
      <w:r w:rsidRPr="00410139">
        <w:rPr>
          <w:rFonts w:eastAsiaTheme="minorEastAsia"/>
          <w:bCs/>
          <w:sz w:val="28"/>
          <w:szCs w:val="28"/>
          <w:lang w:val="uk-UA" w:eastAsia="zh-CN"/>
        </w:rPr>
        <w:t xml:space="preserve"> 283 с.</w:t>
      </w:r>
      <w:bookmarkEnd w:id="3"/>
    </w:p>
    <w:p w:rsidR="00CF1386" w:rsidRPr="00410139" w:rsidRDefault="00CF1386" w:rsidP="00410139">
      <w:pPr>
        <w:numPr>
          <w:ilvl w:val="0"/>
          <w:numId w:val="1"/>
        </w:numPr>
        <w:spacing w:after="0" w:line="360" w:lineRule="auto"/>
        <w:jc w:val="both"/>
        <w:rPr>
          <w:rFonts w:eastAsiaTheme="minorEastAsia"/>
          <w:bCs/>
          <w:sz w:val="28"/>
          <w:szCs w:val="28"/>
          <w:lang w:eastAsia="zh-CN"/>
        </w:rPr>
      </w:pPr>
      <w:bookmarkStart w:id="4" w:name="_Ref381091465"/>
      <w:proofErr w:type="spellStart"/>
      <w:r w:rsidRPr="00410139">
        <w:rPr>
          <w:rFonts w:eastAsiaTheme="minorEastAsia"/>
          <w:bCs/>
          <w:sz w:val="28"/>
          <w:szCs w:val="28"/>
          <w:lang w:val="uk-UA" w:eastAsia="zh-CN"/>
        </w:rPr>
        <w:t>ДиаДЭНС</w:t>
      </w:r>
      <w:proofErr w:type="spellEnd"/>
      <w:r w:rsidRPr="00410139">
        <w:rPr>
          <w:rFonts w:eastAsiaTheme="minorEastAsia"/>
          <w:bCs/>
          <w:sz w:val="28"/>
          <w:szCs w:val="28"/>
          <w:lang w:eastAsia="zh-CN"/>
        </w:rPr>
        <w:t>-ПК лечебно-диагностический комплекс.</w:t>
      </w:r>
      <w:r w:rsidRPr="00410139">
        <w:rPr>
          <w:rFonts w:eastAsiaTheme="minorEastAsia"/>
          <w:bCs/>
          <w:sz w:val="28"/>
          <w:szCs w:val="28"/>
          <w:lang w:val="uk-UA" w:eastAsia="zh-CN"/>
        </w:rPr>
        <w:t xml:space="preserve"> </w:t>
      </w:r>
      <w:r w:rsidRPr="00410139">
        <w:rPr>
          <w:rFonts w:eastAsiaTheme="minorEastAsia"/>
          <w:bCs/>
          <w:sz w:val="28"/>
          <w:szCs w:val="28"/>
          <w:lang w:eastAsia="zh-CN"/>
        </w:rPr>
        <w:t>Р</w:t>
      </w:r>
      <w:proofErr w:type="spellStart"/>
      <w:r w:rsidRPr="00410139">
        <w:rPr>
          <w:rFonts w:eastAsiaTheme="minorEastAsia"/>
          <w:bCs/>
          <w:sz w:val="28"/>
          <w:szCs w:val="28"/>
          <w:lang w:val="uk-UA" w:eastAsia="zh-CN"/>
        </w:rPr>
        <w:t>уководство</w:t>
      </w:r>
      <w:proofErr w:type="spellEnd"/>
      <w:r w:rsidRPr="00410139">
        <w:rPr>
          <w:rFonts w:eastAsiaTheme="minorEastAsia"/>
          <w:bCs/>
          <w:sz w:val="28"/>
          <w:szCs w:val="28"/>
          <w:lang w:val="uk-UA" w:eastAsia="zh-CN"/>
        </w:rPr>
        <w:t xml:space="preserve"> по</w:t>
      </w:r>
      <w:r w:rsidRPr="00410139">
        <w:rPr>
          <w:rFonts w:eastAsiaTheme="minorEastAsia"/>
          <w:bCs/>
          <w:sz w:val="28"/>
          <w:szCs w:val="28"/>
          <w:lang w:eastAsia="zh-CN"/>
        </w:rPr>
        <w:t xml:space="preserve"> эксплуатации. </w:t>
      </w:r>
      <w:r>
        <w:rPr>
          <w:rFonts w:eastAsiaTheme="minorEastAsia"/>
          <w:bCs/>
          <w:sz w:val="28"/>
          <w:szCs w:val="28"/>
          <w:lang w:eastAsia="zh-CN"/>
        </w:rPr>
        <w:t>―</w:t>
      </w:r>
      <w:r w:rsidRPr="00410139">
        <w:rPr>
          <w:rFonts w:eastAsiaTheme="minorEastAsia"/>
          <w:bCs/>
          <w:sz w:val="28"/>
          <w:szCs w:val="28"/>
          <w:lang w:eastAsia="zh-CN"/>
        </w:rPr>
        <w:t xml:space="preserve"> </w:t>
      </w:r>
      <w:proofErr w:type="spellStart"/>
      <w:r w:rsidRPr="00410139">
        <w:rPr>
          <w:rFonts w:eastAsiaTheme="minorEastAsia"/>
          <w:bCs/>
          <w:sz w:val="28"/>
          <w:szCs w:val="28"/>
          <w:lang w:val="uk-UA" w:eastAsia="zh-CN"/>
        </w:rPr>
        <w:t>Екатеринбург</w:t>
      </w:r>
      <w:proofErr w:type="spellEnd"/>
      <w:r>
        <w:rPr>
          <w:rFonts w:eastAsiaTheme="minorEastAsia"/>
          <w:bCs/>
          <w:sz w:val="28"/>
          <w:szCs w:val="28"/>
          <w:lang w:val="uk-UA" w:eastAsia="zh-CN"/>
        </w:rPr>
        <w:t xml:space="preserve"> </w:t>
      </w:r>
      <w:r w:rsidRPr="00410139">
        <w:rPr>
          <w:rFonts w:eastAsiaTheme="minorEastAsia"/>
          <w:bCs/>
          <w:sz w:val="28"/>
          <w:szCs w:val="28"/>
          <w:lang w:val="uk-UA" w:eastAsia="zh-CN"/>
        </w:rPr>
        <w:t>: ООО «РЦ АРТ»,</w:t>
      </w:r>
      <w:r w:rsidRPr="00410139">
        <w:rPr>
          <w:rFonts w:eastAsiaTheme="minorEastAsia"/>
          <w:bCs/>
          <w:sz w:val="28"/>
          <w:szCs w:val="28"/>
          <w:lang w:eastAsia="zh-CN"/>
        </w:rPr>
        <w:t xml:space="preserve"> 2010. </w:t>
      </w:r>
      <w:r>
        <w:rPr>
          <w:rFonts w:eastAsiaTheme="minorEastAsia"/>
          <w:bCs/>
          <w:sz w:val="28"/>
          <w:szCs w:val="28"/>
          <w:lang w:eastAsia="zh-CN"/>
        </w:rPr>
        <w:t>―</w:t>
      </w:r>
      <w:r w:rsidRPr="00410139">
        <w:rPr>
          <w:rFonts w:eastAsiaTheme="minorEastAsia"/>
          <w:bCs/>
          <w:sz w:val="28"/>
          <w:szCs w:val="28"/>
          <w:lang w:eastAsia="zh-CN"/>
        </w:rPr>
        <w:t xml:space="preserve"> 84 с.</w:t>
      </w:r>
      <w:bookmarkEnd w:id="4"/>
    </w:p>
    <w:p w:rsidR="00CF1386" w:rsidRDefault="00CF1386" w:rsidP="00410139">
      <w:pPr>
        <w:numPr>
          <w:ilvl w:val="0"/>
          <w:numId w:val="1"/>
        </w:numPr>
        <w:spacing w:after="0" w:line="360" w:lineRule="auto"/>
        <w:jc w:val="both"/>
        <w:rPr>
          <w:rFonts w:eastAsiaTheme="minorEastAsia"/>
          <w:bCs/>
          <w:sz w:val="28"/>
          <w:szCs w:val="28"/>
          <w:lang w:val="uk-UA" w:eastAsia="zh-CN"/>
        </w:rPr>
      </w:pPr>
      <w:bookmarkStart w:id="5" w:name="_Ref363816623"/>
      <w:r w:rsidRPr="00276437">
        <w:rPr>
          <w:sz w:val="28"/>
          <w:szCs w:val="28"/>
        </w:rPr>
        <w:t xml:space="preserve">Про </w:t>
      </w:r>
      <w:proofErr w:type="spellStart"/>
      <w:r w:rsidRPr="00276437">
        <w:rPr>
          <w:sz w:val="28"/>
          <w:szCs w:val="28"/>
        </w:rPr>
        <w:t>затвердження</w:t>
      </w:r>
      <w:proofErr w:type="spellEnd"/>
      <w:r w:rsidRPr="00276437">
        <w:rPr>
          <w:sz w:val="28"/>
          <w:szCs w:val="28"/>
        </w:rPr>
        <w:t xml:space="preserve"> </w:t>
      </w:r>
      <w:proofErr w:type="spellStart"/>
      <w:r w:rsidRPr="00276437">
        <w:rPr>
          <w:sz w:val="28"/>
          <w:szCs w:val="28"/>
        </w:rPr>
        <w:t>протоколів</w:t>
      </w:r>
      <w:proofErr w:type="spellEnd"/>
      <w:r w:rsidRPr="00276437">
        <w:rPr>
          <w:sz w:val="28"/>
          <w:szCs w:val="28"/>
        </w:rPr>
        <w:t xml:space="preserve"> </w:t>
      </w:r>
      <w:proofErr w:type="spellStart"/>
      <w:r w:rsidRPr="00276437">
        <w:rPr>
          <w:sz w:val="28"/>
          <w:szCs w:val="28"/>
        </w:rPr>
        <w:t>надання</w:t>
      </w:r>
      <w:proofErr w:type="spellEnd"/>
      <w:r w:rsidRPr="00276437">
        <w:rPr>
          <w:sz w:val="28"/>
          <w:szCs w:val="28"/>
        </w:rPr>
        <w:t xml:space="preserve"> </w:t>
      </w:r>
      <w:proofErr w:type="spellStart"/>
      <w:r w:rsidRPr="00276437">
        <w:rPr>
          <w:sz w:val="28"/>
          <w:szCs w:val="28"/>
        </w:rPr>
        <w:t>медичної</w:t>
      </w:r>
      <w:proofErr w:type="spellEnd"/>
      <w:r w:rsidRPr="00276437">
        <w:rPr>
          <w:sz w:val="28"/>
          <w:szCs w:val="28"/>
        </w:rPr>
        <w:t xml:space="preserve"> </w:t>
      </w:r>
      <w:proofErr w:type="spellStart"/>
      <w:r w:rsidRPr="00276437">
        <w:rPr>
          <w:sz w:val="28"/>
          <w:szCs w:val="28"/>
        </w:rPr>
        <w:t>допомоги</w:t>
      </w:r>
      <w:proofErr w:type="spellEnd"/>
      <w:r w:rsidRPr="00276437">
        <w:rPr>
          <w:sz w:val="28"/>
          <w:szCs w:val="28"/>
        </w:rPr>
        <w:t xml:space="preserve"> за </w:t>
      </w:r>
      <w:proofErr w:type="spellStart"/>
      <w:r w:rsidRPr="00276437">
        <w:rPr>
          <w:sz w:val="28"/>
          <w:szCs w:val="28"/>
        </w:rPr>
        <w:t>спеціальністю</w:t>
      </w:r>
      <w:proofErr w:type="spellEnd"/>
      <w:r w:rsidRPr="00276437">
        <w:rPr>
          <w:sz w:val="28"/>
          <w:szCs w:val="28"/>
        </w:rPr>
        <w:t xml:space="preserve"> </w:t>
      </w:r>
      <w:r w:rsidRPr="00276437">
        <w:rPr>
          <w:sz w:val="28"/>
          <w:szCs w:val="28"/>
          <w:lang w:val="uk-UA"/>
        </w:rPr>
        <w:t>«</w:t>
      </w:r>
      <w:proofErr w:type="spellStart"/>
      <w:r w:rsidRPr="00276437">
        <w:rPr>
          <w:sz w:val="28"/>
          <w:szCs w:val="28"/>
        </w:rPr>
        <w:t>Гастроентерологія</w:t>
      </w:r>
      <w:proofErr w:type="spellEnd"/>
      <w:r w:rsidRPr="00276437">
        <w:rPr>
          <w:sz w:val="28"/>
          <w:szCs w:val="28"/>
          <w:lang w:val="uk-UA"/>
        </w:rPr>
        <w:t>»</w:t>
      </w:r>
      <w:proofErr w:type="gramStart"/>
      <w:r w:rsidRPr="00276437">
        <w:rPr>
          <w:sz w:val="28"/>
          <w:szCs w:val="28"/>
          <w:lang w:val="uk-UA"/>
        </w:rPr>
        <w:t xml:space="preserve"> :</w:t>
      </w:r>
      <w:proofErr w:type="gramEnd"/>
      <w:r w:rsidRPr="00276437">
        <w:rPr>
          <w:sz w:val="28"/>
          <w:szCs w:val="28"/>
          <w:lang w:val="uk-UA"/>
        </w:rPr>
        <w:t xml:space="preserve"> Наказ від 13.06.2005 № 271 / Міністерство охорони здоров</w:t>
      </w:r>
      <w:r>
        <w:rPr>
          <w:sz w:val="28"/>
          <w:szCs w:val="28"/>
        </w:rPr>
        <w:t>’</w:t>
      </w:r>
      <w:r w:rsidRPr="00276437">
        <w:rPr>
          <w:sz w:val="28"/>
          <w:szCs w:val="28"/>
          <w:lang w:val="uk-UA"/>
        </w:rPr>
        <w:t xml:space="preserve">я України </w:t>
      </w:r>
      <w:r w:rsidRPr="00276437">
        <w:rPr>
          <w:sz w:val="28"/>
          <w:szCs w:val="28"/>
        </w:rPr>
        <w:t>: [</w:t>
      </w:r>
      <w:r>
        <w:rPr>
          <w:sz w:val="28"/>
          <w:szCs w:val="28"/>
          <w:lang w:val="uk-UA"/>
        </w:rPr>
        <w:t>електронний</w:t>
      </w:r>
      <w:r w:rsidRPr="00276437">
        <w:rPr>
          <w:sz w:val="28"/>
          <w:szCs w:val="28"/>
        </w:rPr>
        <w:t xml:space="preserve"> </w:t>
      </w:r>
      <w:r>
        <w:rPr>
          <w:sz w:val="28"/>
          <w:szCs w:val="28"/>
        </w:rPr>
        <w:t>ресурс]. — Режим доступ</w:t>
      </w:r>
      <w:r>
        <w:rPr>
          <w:sz w:val="28"/>
          <w:szCs w:val="28"/>
          <w:lang w:val="uk-UA"/>
        </w:rPr>
        <w:t>у</w:t>
      </w:r>
      <w:proofErr w:type="gramStart"/>
      <w:r w:rsidRPr="00276437">
        <w:rPr>
          <w:sz w:val="28"/>
          <w:szCs w:val="28"/>
        </w:rPr>
        <w:t xml:space="preserve"> :</w:t>
      </w:r>
      <w:proofErr w:type="gramEnd"/>
      <w:r w:rsidRPr="00276437">
        <w:rPr>
          <w:sz w:val="28"/>
          <w:szCs w:val="28"/>
          <w:lang w:val="uk-UA"/>
        </w:rPr>
        <w:t xml:space="preserve"> http://www.moz.gov.ua/ua/portal/dn_20050613_271.html</w:t>
      </w:r>
      <w:bookmarkEnd w:id="5"/>
    </w:p>
    <w:p w:rsidR="00410139" w:rsidRDefault="00410139" w:rsidP="00410139">
      <w:pPr>
        <w:numPr>
          <w:ilvl w:val="0"/>
          <w:numId w:val="1"/>
        </w:numPr>
        <w:spacing w:after="0" w:line="360" w:lineRule="auto"/>
        <w:jc w:val="both"/>
        <w:rPr>
          <w:rFonts w:eastAsiaTheme="minorEastAsia"/>
          <w:bCs/>
          <w:sz w:val="28"/>
          <w:szCs w:val="28"/>
          <w:lang w:val="uk-UA" w:eastAsia="zh-CN"/>
        </w:rPr>
      </w:pPr>
      <w:bookmarkStart w:id="6" w:name="_Ref381091753"/>
      <w:proofErr w:type="spellStart"/>
      <w:r w:rsidRPr="00410139">
        <w:rPr>
          <w:rFonts w:eastAsiaTheme="minorEastAsia"/>
          <w:bCs/>
          <w:sz w:val="28"/>
          <w:szCs w:val="28"/>
          <w:lang w:val="en-US" w:eastAsia="zh-CN"/>
        </w:rPr>
        <w:t>Beger</w:t>
      </w:r>
      <w:proofErr w:type="spellEnd"/>
      <w:r w:rsidRPr="00410139">
        <w:rPr>
          <w:rFonts w:eastAsiaTheme="minorEastAsia"/>
          <w:bCs/>
          <w:sz w:val="28"/>
          <w:szCs w:val="28"/>
          <w:lang w:val="en-US" w:eastAsia="zh-CN"/>
        </w:rPr>
        <w:t xml:space="preserve"> H.</w:t>
      </w:r>
      <w:r w:rsidR="0019532E">
        <w:rPr>
          <w:rFonts w:eastAsiaTheme="minorEastAsia"/>
          <w:bCs/>
          <w:sz w:val="28"/>
          <w:szCs w:val="28"/>
          <w:lang w:val="uk-UA" w:eastAsia="zh-CN"/>
        </w:rPr>
        <w:t xml:space="preserve"> </w:t>
      </w:r>
      <w:r w:rsidRPr="00410139">
        <w:rPr>
          <w:rFonts w:eastAsiaTheme="minorEastAsia"/>
          <w:bCs/>
          <w:sz w:val="28"/>
          <w:szCs w:val="28"/>
          <w:lang w:val="en-US" w:eastAsia="zh-CN"/>
        </w:rPr>
        <w:t xml:space="preserve">G. Diseases of the </w:t>
      </w:r>
      <w:r w:rsidR="0019532E">
        <w:rPr>
          <w:rFonts w:eastAsiaTheme="minorEastAsia"/>
          <w:bCs/>
          <w:sz w:val="28"/>
          <w:szCs w:val="28"/>
          <w:lang w:val="en-US" w:eastAsia="zh-CN"/>
        </w:rPr>
        <w:t>p</w:t>
      </w:r>
      <w:r w:rsidRPr="00410139">
        <w:rPr>
          <w:rFonts w:eastAsiaTheme="minorEastAsia"/>
          <w:bCs/>
          <w:sz w:val="28"/>
          <w:szCs w:val="28"/>
          <w:lang w:val="en-US" w:eastAsia="zh-CN"/>
        </w:rPr>
        <w:t>ancreas / H.</w:t>
      </w:r>
      <w:r w:rsidR="0019532E">
        <w:rPr>
          <w:rFonts w:eastAsiaTheme="minorEastAsia"/>
          <w:bCs/>
          <w:sz w:val="28"/>
          <w:szCs w:val="28"/>
          <w:lang w:val="en-US" w:eastAsia="zh-CN"/>
        </w:rPr>
        <w:t xml:space="preserve"> </w:t>
      </w:r>
      <w:r w:rsidRPr="00410139">
        <w:rPr>
          <w:rFonts w:eastAsiaTheme="minorEastAsia"/>
          <w:bCs/>
          <w:sz w:val="28"/>
          <w:szCs w:val="28"/>
          <w:lang w:val="en-US" w:eastAsia="zh-CN"/>
        </w:rPr>
        <w:t xml:space="preserve">G. </w:t>
      </w:r>
      <w:proofErr w:type="spellStart"/>
      <w:r w:rsidRPr="00410139">
        <w:rPr>
          <w:rFonts w:eastAsiaTheme="minorEastAsia"/>
          <w:bCs/>
          <w:sz w:val="28"/>
          <w:szCs w:val="28"/>
          <w:lang w:val="en-US" w:eastAsia="zh-CN"/>
        </w:rPr>
        <w:t>Beger</w:t>
      </w:r>
      <w:proofErr w:type="spellEnd"/>
      <w:r w:rsidRPr="00410139">
        <w:rPr>
          <w:rFonts w:eastAsiaTheme="minorEastAsia"/>
          <w:bCs/>
          <w:sz w:val="28"/>
          <w:szCs w:val="28"/>
          <w:lang w:val="en-US" w:eastAsia="zh-CN"/>
        </w:rPr>
        <w:t xml:space="preserve">, S. </w:t>
      </w:r>
      <w:proofErr w:type="spellStart"/>
      <w:r w:rsidRPr="00410139">
        <w:rPr>
          <w:rFonts w:eastAsiaTheme="minorEastAsia"/>
          <w:bCs/>
          <w:sz w:val="28"/>
          <w:szCs w:val="28"/>
          <w:lang w:val="en-US" w:eastAsia="zh-CN"/>
        </w:rPr>
        <w:t>Matsuno</w:t>
      </w:r>
      <w:proofErr w:type="spellEnd"/>
      <w:r w:rsidRPr="00410139">
        <w:rPr>
          <w:rFonts w:eastAsiaTheme="minorEastAsia"/>
          <w:bCs/>
          <w:sz w:val="28"/>
          <w:szCs w:val="28"/>
          <w:lang w:val="en-US" w:eastAsia="zh-CN"/>
        </w:rPr>
        <w:t>,</w:t>
      </w:r>
      <w:r w:rsidRPr="00410139">
        <w:rPr>
          <w:rFonts w:eastAsiaTheme="minorEastAsia"/>
          <w:bCs/>
          <w:sz w:val="28"/>
          <w:szCs w:val="28"/>
          <w:lang w:val="uk-UA" w:eastAsia="zh-CN"/>
        </w:rPr>
        <w:t xml:space="preserve"> </w:t>
      </w:r>
      <w:r w:rsidRPr="00410139">
        <w:rPr>
          <w:rFonts w:eastAsiaTheme="minorEastAsia"/>
          <w:bCs/>
          <w:sz w:val="28"/>
          <w:szCs w:val="28"/>
          <w:lang w:val="en-US" w:eastAsia="zh-CN"/>
        </w:rPr>
        <w:t>J.</w:t>
      </w:r>
      <w:r w:rsidR="0019532E">
        <w:rPr>
          <w:rFonts w:eastAsiaTheme="minorEastAsia"/>
          <w:bCs/>
          <w:sz w:val="28"/>
          <w:szCs w:val="28"/>
          <w:lang w:val="en-US" w:eastAsia="zh-CN"/>
        </w:rPr>
        <w:t xml:space="preserve"> </w:t>
      </w:r>
      <w:r w:rsidRPr="00410139">
        <w:rPr>
          <w:rFonts w:eastAsiaTheme="minorEastAsia"/>
          <w:bCs/>
          <w:sz w:val="28"/>
          <w:szCs w:val="28"/>
          <w:lang w:val="en-US" w:eastAsia="zh-CN"/>
        </w:rPr>
        <w:t>L.</w:t>
      </w:r>
      <w:r w:rsidR="0019532E">
        <w:rPr>
          <w:rFonts w:eastAsiaTheme="minorEastAsia"/>
          <w:bCs/>
          <w:sz w:val="28"/>
          <w:szCs w:val="28"/>
          <w:lang w:val="en-US" w:eastAsia="zh-CN"/>
        </w:rPr>
        <w:t xml:space="preserve"> </w:t>
      </w:r>
      <w:r w:rsidRPr="00410139">
        <w:rPr>
          <w:rFonts w:eastAsiaTheme="minorEastAsia"/>
          <w:bCs/>
          <w:sz w:val="28"/>
          <w:szCs w:val="28"/>
          <w:lang w:val="en-US" w:eastAsia="zh-CN"/>
        </w:rPr>
        <w:t>Cameron</w:t>
      </w:r>
      <w:r w:rsidR="0019532E">
        <w:rPr>
          <w:rFonts w:eastAsiaTheme="minorEastAsia"/>
          <w:bCs/>
          <w:sz w:val="28"/>
          <w:szCs w:val="28"/>
          <w:lang w:val="en-US" w:eastAsia="zh-CN"/>
        </w:rPr>
        <w:t xml:space="preserve">. ― </w:t>
      </w:r>
      <w:proofErr w:type="gramStart"/>
      <w:r w:rsidR="0019532E" w:rsidRPr="00410139">
        <w:rPr>
          <w:rFonts w:eastAsiaTheme="minorEastAsia"/>
          <w:bCs/>
          <w:sz w:val="28"/>
          <w:szCs w:val="28"/>
          <w:lang w:val="en-US" w:eastAsia="zh-CN"/>
        </w:rPr>
        <w:t xml:space="preserve">Berlin </w:t>
      </w:r>
      <w:r w:rsidR="00E8748C">
        <w:rPr>
          <w:rFonts w:eastAsiaTheme="minorEastAsia"/>
          <w:bCs/>
          <w:sz w:val="28"/>
          <w:szCs w:val="28"/>
          <w:lang w:val="en-US" w:eastAsia="zh-CN"/>
        </w:rPr>
        <w:t>;</w:t>
      </w:r>
      <w:proofErr w:type="gramEnd"/>
      <w:r w:rsidR="00E8748C">
        <w:rPr>
          <w:rFonts w:eastAsiaTheme="minorEastAsia"/>
          <w:bCs/>
          <w:sz w:val="28"/>
          <w:szCs w:val="28"/>
          <w:lang w:val="en-US" w:eastAsia="zh-CN"/>
        </w:rPr>
        <w:t xml:space="preserve"> </w:t>
      </w:r>
      <w:r w:rsidR="0019532E" w:rsidRPr="00410139">
        <w:rPr>
          <w:rFonts w:eastAsiaTheme="minorEastAsia"/>
          <w:bCs/>
          <w:sz w:val="28"/>
          <w:szCs w:val="28"/>
          <w:lang w:val="en-US" w:eastAsia="zh-CN"/>
        </w:rPr>
        <w:t xml:space="preserve">Heidelberg </w:t>
      </w:r>
      <w:r w:rsidR="00E8748C">
        <w:rPr>
          <w:rFonts w:eastAsiaTheme="minorEastAsia"/>
          <w:bCs/>
          <w:sz w:val="28"/>
          <w:szCs w:val="28"/>
          <w:lang w:val="en-US" w:eastAsia="zh-CN"/>
        </w:rPr>
        <w:t xml:space="preserve">: </w:t>
      </w:r>
      <w:r w:rsidRPr="00410139">
        <w:rPr>
          <w:rFonts w:eastAsiaTheme="minorEastAsia"/>
          <w:bCs/>
          <w:sz w:val="28"/>
          <w:szCs w:val="28"/>
          <w:lang w:val="en-US" w:eastAsia="zh-CN"/>
        </w:rPr>
        <w:t>Springer-</w:t>
      </w:r>
      <w:proofErr w:type="spellStart"/>
      <w:r w:rsidRPr="00410139">
        <w:rPr>
          <w:rFonts w:eastAsiaTheme="minorEastAsia"/>
          <w:bCs/>
          <w:sz w:val="28"/>
          <w:szCs w:val="28"/>
          <w:lang w:val="en-US" w:eastAsia="zh-CN"/>
        </w:rPr>
        <w:t>Verlag</w:t>
      </w:r>
      <w:proofErr w:type="spellEnd"/>
      <w:r w:rsidR="00E8748C">
        <w:rPr>
          <w:rFonts w:eastAsiaTheme="minorEastAsia"/>
          <w:bCs/>
          <w:sz w:val="28"/>
          <w:szCs w:val="28"/>
          <w:lang w:val="en-US" w:eastAsia="zh-CN"/>
        </w:rPr>
        <w:t xml:space="preserve">, 2008. ― </w:t>
      </w:r>
      <w:r w:rsidRPr="00410139">
        <w:rPr>
          <w:rFonts w:eastAsiaTheme="minorEastAsia"/>
          <w:bCs/>
          <w:sz w:val="28"/>
          <w:szCs w:val="28"/>
          <w:lang w:val="en-US" w:eastAsia="zh-CN"/>
        </w:rPr>
        <w:t>905</w:t>
      </w:r>
      <w:r w:rsidR="00E8748C">
        <w:rPr>
          <w:rFonts w:eastAsiaTheme="minorEastAsia"/>
          <w:bCs/>
          <w:sz w:val="28"/>
          <w:szCs w:val="28"/>
          <w:lang w:val="en-US" w:eastAsia="zh-CN"/>
        </w:rPr>
        <w:t xml:space="preserve"> p</w:t>
      </w:r>
      <w:r w:rsidRPr="00410139">
        <w:rPr>
          <w:rFonts w:eastAsiaTheme="minorEastAsia"/>
          <w:bCs/>
          <w:sz w:val="28"/>
          <w:szCs w:val="28"/>
          <w:lang w:val="en-US" w:eastAsia="zh-CN"/>
        </w:rPr>
        <w:t>.</w:t>
      </w:r>
      <w:bookmarkEnd w:id="6"/>
    </w:p>
    <w:p w:rsidR="00FA7CFB" w:rsidRDefault="00FA7CFB">
      <w:pPr>
        <w:rPr>
          <w:rFonts w:eastAsiaTheme="minorEastAsia"/>
          <w:bCs/>
          <w:sz w:val="28"/>
          <w:szCs w:val="28"/>
          <w:lang w:val="uk-UA" w:eastAsia="zh-CN"/>
        </w:rPr>
      </w:pPr>
      <w:r>
        <w:rPr>
          <w:rFonts w:eastAsiaTheme="minorEastAsia"/>
          <w:bCs/>
          <w:sz w:val="28"/>
          <w:szCs w:val="28"/>
          <w:lang w:val="uk-UA" w:eastAsia="zh-CN"/>
        </w:rPr>
        <w:br w:type="page"/>
      </w:r>
    </w:p>
    <w:p w:rsidR="0073147F" w:rsidRPr="0073147F" w:rsidRDefault="0073147F" w:rsidP="0073147F">
      <w:pPr>
        <w:spacing w:after="0" w:line="360" w:lineRule="auto"/>
        <w:jc w:val="center"/>
        <w:rPr>
          <w:rFonts w:eastAsiaTheme="minorEastAsia"/>
          <w:b/>
          <w:sz w:val="28"/>
          <w:szCs w:val="28"/>
          <w:lang w:val="en-US" w:eastAsia="zh-CN"/>
        </w:rPr>
      </w:pPr>
      <w:r w:rsidRPr="0073147F">
        <w:rPr>
          <w:rFonts w:eastAsiaTheme="minorEastAsia"/>
          <w:b/>
          <w:sz w:val="28"/>
          <w:szCs w:val="28"/>
          <w:lang w:val="en-US" w:eastAsia="zh-CN"/>
        </w:rPr>
        <w:lastRenderedPageBreak/>
        <w:t xml:space="preserve">Complex correction of quality of life </w:t>
      </w:r>
      <w:r w:rsidR="00591AF1">
        <w:rPr>
          <w:rFonts w:eastAsiaTheme="minorEastAsia"/>
          <w:b/>
          <w:sz w:val="28"/>
          <w:szCs w:val="28"/>
          <w:lang w:val="en-US" w:eastAsia="zh-CN"/>
        </w:rPr>
        <w:t xml:space="preserve">by </w:t>
      </w:r>
      <w:r w:rsidR="00591AF1" w:rsidRPr="0073147F">
        <w:rPr>
          <w:rFonts w:eastAsiaTheme="minorEastAsia"/>
          <w:b/>
          <w:bCs/>
          <w:sz w:val="28"/>
          <w:szCs w:val="28"/>
          <w:lang w:val="en-US" w:eastAsia="zh-CN"/>
        </w:rPr>
        <w:t xml:space="preserve">dynamic </w:t>
      </w:r>
      <w:proofErr w:type="spellStart"/>
      <w:r w:rsidR="00591AF1" w:rsidRPr="0073147F">
        <w:rPr>
          <w:rFonts w:eastAsiaTheme="minorEastAsia"/>
          <w:b/>
          <w:bCs/>
          <w:sz w:val="28"/>
          <w:szCs w:val="28"/>
          <w:lang w:val="en-US" w:eastAsia="zh-CN"/>
        </w:rPr>
        <w:t>electroneurostimulation</w:t>
      </w:r>
      <w:proofErr w:type="spellEnd"/>
      <w:r w:rsidR="00591AF1">
        <w:rPr>
          <w:rFonts w:eastAsiaTheme="minorEastAsia"/>
          <w:b/>
          <w:sz w:val="28"/>
          <w:szCs w:val="28"/>
          <w:lang w:val="en-US" w:eastAsia="zh-CN"/>
        </w:rPr>
        <w:t xml:space="preserve"> </w:t>
      </w:r>
      <w:r>
        <w:rPr>
          <w:rFonts w:eastAsiaTheme="minorEastAsia"/>
          <w:b/>
          <w:sz w:val="28"/>
          <w:szCs w:val="28"/>
          <w:lang w:val="en-US" w:eastAsia="zh-CN"/>
        </w:rPr>
        <w:t>in</w:t>
      </w:r>
      <w:r w:rsidRPr="0073147F">
        <w:rPr>
          <w:rFonts w:eastAsiaTheme="minorEastAsia"/>
          <w:b/>
          <w:sz w:val="28"/>
          <w:szCs w:val="28"/>
          <w:lang w:val="en-US" w:eastAsia="zh-CN"/>
        </w:rPr>
        <w:t xml:space="preserve"> patients with </w:t>
      </w:r>
      <w:r>
        <w:rPr>
          <w:rFonts w:eastAsiaTheme="minorEastAsia"/>
          <w:b/>
          <w:sz w:val="28"/>
          <w:szCs w:val="28"/>
          <w:lang w:val="en-US" w:eastAsia="zh-CN"/>
        </w:rPr>
        <w:t>c</w:t>
      </w:r>
      <w:r w:rsidRPr="0073147F">
        <w:rPr>
          <w:rFonts w:eastAsiaTheme="minorEastAsia"/>
          <w:b/>
          <w:sz w:val="28"/>
          <w:szCs w:val="28"/>
          <w:lang w:val="en-US" w:eastAsia="zh-CN"/>
        </w:rPr>
        <w:t xml:space="preserve">hronic pancreatitis </w:t>
      </w:r>
    </w:p>
    <w:p w:rsidR="0073147F" w:rsidRPr="0073147F" w:rsidRDefault="0073147F" w:rsidP="0073147F">
      <w:pPr>
        <w:spacing w:after="0" w:line="360" w:lineRule="auto"/>
        <w:jc w:val="center"/>
        <w:rPr>
          <w:rFonts w:eastAsiaTheme="minorEastAsia"/>
          <w:sz w:val="28"/>
          <w:szCs w:val="28"/>
          <w:lang w:val="en-US" w:eastAsia="zh-CN"/>
        </w:rPr>
      </w:pPr>
      <w:r>
        <w:rPr>
          <w:sz w:val="28"/>
          <w:szCs w:val="28"/>
          <w:lang w:val="en-US"/>
        </w:rPr>
        <w:t>Y</w:t>
      </w:r>
      <w:r w:rsidRPr="0073147F">
        <w:rPr>
          <w:sz w:val="28"/>
          <w:szCs w:val="28"/>
          <w:lang w:val="en-US"/>
        </w:rPr>
        <w:t xml:space="preserve">. </w:t>
      </w:r>
      <w:r>
        <w:rPr>
          <w:sz w:val="28"/>
          <w:szCs w:val="28"/>
          <w:lang w:val="en-US"/>
        </w:rPr>
        <w:t>Y</w:t>
      </w:r>
      <w:r w:rsidRPr="0073147F">
        <w:rPr>
          <w:sz w:val="28"/>
          <w:szCs w:val="28"/>
          <w:lang w:val="en-US"/>
        </w:rPr>
        <w:t xml:space="preserve">. </w:t>
      </w:r>
      <w:proofErr w:type="spellStart"/>
      <w:r w:rsidRPr="00396D6B">
        <w:rPr>
          <w:sz w:val="28"/>
          <w:szCs w:val="28"/>
          <w:lang w:val="en-US"/>
        </w:rPr>
        <w:t>Kotsaba</w:t>
      </w:r>
      <w:proofErr w:type="spellEnd"/>
      <w:r w:rsidRPr="0073147F">
        <w:rPr>
          <w:rFonts w:eastAsiaTheme="minorEastAsia"/>
          <w:sz w:val="28"/>
          <w:szCs w:val="28"/>
          <w:lang w:val="en-US" w:eastAsia="zh-CN"/>
        </w:rPr>
        <w:t xml:space="preserve">, </w:t>
      </w:r>
      <w:r w:rsidRPr="00396D6B">
        <w:rPr>
          <w:sz w:val="28"/>
          <w:szCs w:val="28"/>
          <w:lang w:val="en-US"/>
        </w:rPr>
        <w:t>L</w:t>
      </w:r>
      <w:r>
        <w:rPr>
          <w:sz w:val="28"/>
          <w:szCs w:val="28"/>
          <w:lang w:val="en-US"/>
        </w:rPr>
        <w:t xml:space="preserve">. </w:t>
      </w:r>
      <w:r w:rsidRPr="00396D6B">
        <w:rPr>
          <w:sz w:val="28"/>
          <w:szCs w:val="28"/>
          <w:lang w:val="en-US"/>
        </w:rPr>
        <w:t>S</w:t>
      </w:r>
      <w:r>
        <w:rPr>
          <w:sz w:val="28"/>
          <w:szCs w:val="28"/>
          <w:lang w:val="en-US"/>
        </w:rPr>
        <w:t xml:space="preserve">. </w:t>
      </w:r>
      <w:proofErr w:type="spellStart"/>
      <w:r>
        <w:rPr>
          <w:sz w:val="28"/>
          <w:szCs w:val="28"/>
          <w:lang w:val="en-US"/>
        </w:rPr>
        <w:t>Babine</w:t>
      </w:r>
      <w:r w:rsidR="00BB2FDB">
        <w:rPr>
          <w:sz w:val="28"/>
          <w:szCs w:val="28"/>
          <w:lang w:val="en-US"/>
        </w:rPr>
        <w:t>ts</w:t>
      </w:r>
      <w:proofErr w:type="spellEnd"/>
    </w:p>
    <w:p w:rsidR="0073147F" w:rsidRPr="0073147F" w:rsidRDefault="0073147F" w:rsidP="0073147F">
      <w:pPr>
        <w:spacing w:after="0" w:line="360" w:lineRule="auto"/>
        <w:jc w:val="center"/>
        <w:rPr>
          <w:rFonts w:eastAsiaTheme="minorEastAsia"/>
          <w:i/>
          <w:sz w:val="28"/>
          <w:szCs w:val="28"/>
          <w:lang w:val="en-US" w:eastAsia="zh-CN"/>
        </w:rPr>
      </w:pPr>
      <w:proofErr w:type="spellStart"/>
      <w:r w:rsidRPr="0073147F">
        <w:rPr>
          <w:rFonts w:eastAsiaTheme="minorEastAsia"/>
          <w:i/>
          <w:sz w:val="28"/>
          <w:szCs w:val="28"/>
          <w:lang w:val="en-US" w:eastAsia="zh-CN"/>
        </w:rPr>
        <w:t>Ternopil</w:t>
      </w:r>
      <w:proofErr w:type="spellEnd"/>
      <w:r w:rsidRPr="0073147F">
        <w:rPr>
          <w:rFonts w:eastAsiaTheme="minorEastAsia"/>
          <w:i/>
          <w:sz w:val="28"/>
          <w:szCs w:val="28"/>
          <w:lang w:val="en-US" w:eastAsia="zh-CN"/>
        </w:rPr>
        <w:t xml:space="preserve"> State Medical University n. a. I. Y. </w:t>
      </w:r>
      <w:proofErr w:type="spellStart"/>
      <w:r w:rsidRPr="0073147F">
        <w:rPr>
          <w:rFonts w:eastAsiaTheme="minorEastAsia"/>
          <w:i/>
          <w:sz w:val="28"/>
          <w:szCs w:val="28"/>
          <w:lang w:val="en-US" w:eastAsia="zh-CN"/>
        </w:rPr>
        <w:t>Horbachevsky</w:t>
      </w:r>
      <w:proofErr w:type="spellEnd"/>
      <w:r w:rsidRPr="0073147F">
        <w:rPr>
          <w:rFonts w:eastAsiaTheme="minorEastAsia"/>
          <w:i/>
          <w:sz w:val="28"/>
          <w:szCs w:val="28"/>
          <w:lang w:val="en-US" w:eastAsia="zh-CN"/>
        </w:rPr>
        <w:t>, Ukraine</w:t>
      </w:r>
    </w:p>
    <w:p w:rsidR="0073147F" w:rsidRPr="0073147F" w:rsidRDefault="0073147F" w:rsidP="0073147F">
      <w:pPr>
        <w:spacing w:after="0" w:line="360" w:lineRule="auto"/>
        <w:jc w:val="center"/>
        <w:rPr>
          <w:rFonts w:eastAsiaTheme="minorEastAsia"/>
          <w:i/>
          <w:sz w:val="28"/>
          <w:szCs w:val="28"/>
          <w:lang w:val="en-US" w:eastAsia="zh-CN"/>
        </w:rPr>
      </w:pPr>
    </w:p>
    <w:p w:rsidR="0073147F" w:rsidRPr="003970A2" w:rsidRDefault="0073147F" w:rsidP="0073147F">
      <w:pPr>
        <w:spacing w:after="0" w:line="360" w:lineRule="auto"/>
        <w:ind w:firstLine="709"/>
        <w:jc w:val="both"/>
        <w:rPr>
          <w:rFonts w:eastAsiaTheme="minorEastAsia"/>
          <w:bCs/>
          <w:sz w:val="28"/>
          <w:szCs w:val="28"/>
          <w:lang w:val="en-US" w:eastAsia="zh-CN"/>
        </w:rPr>
      </w:pPr>
      <w:r w:rsidRPr="003970A2">
        <w:rPr>
          <w:rFonts w:eastAsiaTheme="minorEastAsia"/>
          <w:b/>
          <w:sz w:val="28"/>
          <w:szCs w:val="28"/>
          <w:lang w:val="en-US" w:eastAsia="zh-CN"/>
        </w:rPr>
        <w:t>Key words:</w:t>
      </w:r>
      <w:r w:rsidRPr="003970A2">
        <w:rPr>
          <w:rFonts w:eastAsiaTheme="minorEastAsia"/>
          <w:sz w:val="28"/>
          <w:szCs w:val="28"/>
          <w:lang w:val="en-US" w:eastAsia="zh-CN"/>
        </w:rPr>
        <w:t xml:space="preserve"> </w:t>
      </w:r>
      <w:r w:rsidRPr="003970A2">
        <w:rPr>
          <w:rFonts w:eastAsiaTheme="minorEastAsia"/>
          <w:bCs/>
          <w:sz w:val="28"/>
          <w:szCs w:val="28"/>
          <w:lang w:val="en-US" w:eastAsia="zh-CN"/>
        </w:rPr>
        <w:t xml:space="preserve">chronic pancreatitis, </w:t>
      </w:r>
      <w:r w:rsidR="003970A2" w:rsidRPr="003970A2">
        <w:rPr>
          <w:rFonts w:eastAsiaTheme="minorEastAsia"/>
          <w:bCs/>
          <w:sz w:val="28"/>
          <w:szCs w:val="28"/>
          <w:lang w:val="en-US" w:eastAsia="zh-CN"/>
        </w:rPr>
        <w:t xml:space="preserve">quality of life, </w:t>
      </w:r>
      <w:r w:rsidRPr="003970A2">
        <w:rPr>
          <w:rFonts w:eastAsiaTheme="minorEastAsia"/>
          <w:bCs/>
          <w:sz w:val="28"/>
          <w:szCs w:val="28"/>
          <w:lang w:val="en-US" w:eastAsia="zh-CN"/>
        </w:rPr>
        <w:t xml:space="preserve">dynamic </w:t>
      </w:r>
      <w:proofErr w:type="spellStart"/>
      <w:r w:rsidRPr="003970A2">
        <w:rPr>
          <w:rFonts w:eastAsiaTheme="minorEastAsia"/>
          <w:bCs/>
          <w:sz w:val="28"/>
          <w:szCs w:val="28"/>
          <w:lang w:val="en-US" w:eastAsia="zh-CN"/>
        </w:rPr>
        <w:t>electroneurostimulation</w:t>
      </w:r>
      <w:proofErr w:type="spellEnd"/>
      <w:r w:rsidRPr="003970A2">
        <w:rPr>
          <w:rFonts w:eastAsiaTheme="minorEastAsia"/>
          <w:bCs/>
          <w:sz w:val="28"/>
          <w:szCs w:val="28"/>
          <w:lang w:val="en-US" w:eastAsia="zh-CN"/>
        </w:rPr>
        <w:t>, DENS-therapy</w:t>
      </w:r>
      <w:r w:rsidR="003970A2" w:rsidRPr="003970A2">
        <w:rPr>
          <w:rFonts w:eastAsiaTheme="minorEastAsia"/>
          <w:bCs/>
          <w:sz w:val="28"/>
          <w:szCs w:val="28"/>
          <w:lang w:val="en-US" w:eastAsia="zh-CN"/>
        </w:rPr>
        <w:t>, acupuncture</w:t>
      </w:r>
    </w:p>
    <w:p w:rsidR="0073147F" w:rsidRPr="0073147F" w:rsidRDefault="00DF7CA2" w:rsidP="0073147F">
      <w:pPr>
        <w:spacing w:after="0" w:line="360" w:lineRule="auto"/>
        <w:ind w:firstLine="709"/>
        <w:jc w:val="both"/>
        <w:rPr>
          <w:rFonts w:eastAsiaTheme="minorEastAsia"/>
          <w:bCs/>
          <w:sz w:val="28"/>
          <w:szCs w:val="28"/>
          <w:lang w:val="en-US" w:eastAsia="zh-CN"/>
        </w:rPr>
      </w:pPr>
      <w:r>
        <w:rPr>
          <w:rFonts w:eastAsiaTheme="minorEastAsia"/>
          <w:bCs/>
          <w:sz w:val="28"/>
          <w:szCs w:val="28"/>
          <w:lang w:val="en-US" w:eastAsia="zh-CN"/>
        </w:rPr>
        <w:t>N</w:t>
      </w:r>
      <w:r w:rsidRPr="00DF7CA2">
        <w:rPr>
          <w:rFonts w:eastAsiaTheme="minorEastAsia"/>
          <w:bCs/>
          <w:sz w:val="28"/>
          <w:szCs w:val="28"/>
          <w:lang w:val="en-US" w:eastAsia="zh-CN"/>
        </w:rPr>
        <w:t>umber of patients with acute and chronic pancreatitis (CP)</w:t>
      </w:r>
      <w:r>
        <w:rPr>
          <w:rFonts w:eastAsiaTheme="minorEastAsia"/>
          <w:bCs/>
          <w:sz w:val="28"/>
          <w:szCs w:val="28"/>
          <w:lang w:val="en-US" w:eastAsia="zh-CN"/>
        </w:rPr>
        <w:t xml:space="preserve"> in the world has been doubled for the </w:t>
      </w:r>
      <w:r w:rsidRPr="00DF7CA2">
        <w:rPr>
          <w:rFonts w:eastAsiaTheme="minorEastAsia"/>
          <w:bCs/>
          <w:sz w:val="28"/>
          <w:szCs w:val="28"/>
          <w:lang w:val="en-US" w:eastAsia="zh-CN"/>
        </w:rPr>
        <w:t xml:space="preserve">last 30 years </w:t>
      </w:r>
      <w:r>
        <w:rPr>
          <w:rFonts w:eastAsiaTheme="minorEastAsia"/>
          <w:bCs/>
          <w:sz w:val="28"/>
          <w:szCs w:val="28"/>
          <w:lang w:val="en-US" w:eastAsia="zh-CN"/>
        </w:rPr>
        <w:t xml:space="preserve">(A. I. </w:t>
      </w:r>
      <w:proofErr w:type="spellStart"/>
      <w:r>
        <w:rPr>
          <w:rFonts w:eastAsiaTheme="minorEastAsia"/>
          <w:bCs/>
          <w:sz w:val="28"/>
          <w:szCs w:val="28"/>
          <w:lang w:val="en-US" w:eastAsia="zh-CN"/>
        </w:rPr>
        <w:t>Khazanov</w:t>
      </w:r>
      <w:proofErr w:type="spellEnd"/>
      <w:r>
        <w:rPr>
          <w:rFonts w:eastAsiaTheme="minorEastAsia"/>
          <w:bCs/>
          <w:sz w:val="28"/>
          <w:szCs w:val="28"/>
          <w:lang w:val="en-US" w:eastAsia="zh-CN"/>
        </w:rPr>
        <w:t xml:space="preserve"> et al., 1999)</w:t>
      </w:r>
      <w:r w:rsidRPr="00DF7CA2">
        <w:rPr>
          <w:rFonts w:eastAsiaTheme="minorEastAsia"/>
          <w:bCs/>
          <w:sz w:val="28"/>
          <w:szCs w:val="28"/>
          <w:lang w:val="en-US" w:eastAsia="zh-CN"/>
        </w:rPr>
        <w:t xml:space="preserve">. Disability </w:t>
      </w:r>
      <w:r>
        <w:rPr>
          <w:rFonts w:eastAsiaTheme="minorEastAsia"/>
          <w:bCs/>
          <w:sz w:val="28"/>
          <w:szCs w:val="28"/>
          <w:lang w:val="en-US" w:eastAsia="zh-CN"/>
        </w:rPr>
        <w:t xml:space="preserve">of </w:t>
      </w:r>
      <w:r w:rsidRPr="00DF7CA2">
        <w:rPr>
          <w:rFonts w:eastAsiaTheme="minorEastAsia"/>
          <w:bCs/>
          <w:sz w:val="28"/>
          <w:szCs w:val="28"/>
          <w:lang w:val="en-US" w:eastAsia="zh-CN"/>
        </w:rPr>
        <w:t xml:space="preserve">such patients </w:t>
      </w:r>
      <w:r>
        <w:rPr>
          <w:rFonts w:eastAsiaTheme="minorEastAsia"/>
          <w:bCs/>
          <w:sz w:val="28"/>
          <w:szCs w:val="28"/>
          <w:lang w:val="en-US" w:eastAsia="zh-CN"/>
        </w:rPr>
        <w:t>reaches 15</w:t>
      </w:r>
      <w:r w:rsidRPr="00DF7CA2">
        <w:rPr>
          <w:rFonts w:eastAsiaTheme="minorEastAsia"/>
          <w:bCs/>
          <w:sz w:val="28"/>
          <w:szCs w:val="28"/>
          <w:lang w:val="en-US" w:eastAsia="zh-CN"/>
        </w:rPr>
        <w:t xml:space="preserve">% </w:t>
      </w:r>
      <w:r>
        <w:rPr>
          <w:rFonts w:eastAsiaTheme="minorEastAsia"/>
          <w:bCs/>
          <w:sz w:val="28"/>
          <w:szCs w:val="28"/>
          <w:lang w:val="en-US" w:eastAsia="zh-CN"/>
        </w:rPr>
        <w:t xml:space="preserve">(M. </w:t>
      </w:r>
      <w:proofErr w:type="spellStart"/>
      <w:r>
        <w:rPr>
          <w:rFonts w:eastAsiaTheme="minorEastAsia"/>
          <w:bCs/>
          <w:sz w:val="28"/>
          <w:szCs w:val="28"/>
          <w:lang w:val="en-US" w:eastAsia="zh-CN"/>
        </w:rPr>
        <w:t>Jaakkola</w:t>
      </w:r>
      <w:proofErr w:type="spellEnd"/>
      <w:r>
        <w:rPr>
          <w:rFonts w:eastAsiaTheme="minorEastAsia"/>
          <w:bCs/>
          <w:sz w:val="28"/>
          <w:szCs w:val="28"/>
          <w:lang w:val="en-US" w:eastAsia="zh-CN"/>
        </w:rPr>
        <w:t xml:space="preserve"> et al., 1998)</w:t>
      </w:r>
      <w:r w:rsidRPr="00DF7CA2">
        <w:rPr>
          <w:rFonts w:eastAsiaTheme="minorEastAsia"/>
          <w:bCs/>
          <w:sz w:val="28"/>
          <w:szCs w:val="28"/>
          <w:lang w:val="en-US" w:eastAsia="zh-CN"/>
        </w:rPr>
        <w:t>. Low effici</w:t>
      </w:r>
      <w:r>
        <w:rPr>
          <w:rFonts w:eastAsiaTheme="minorEastAsia"/>
          <w:bCs/>
          <w:sz w:val="28"/>
          <w:szCs w:val="28"/>
          <w:lang w:val="en-US" w:eastAsia="zh-CN"/>
        </w:rPr>
        <w:t>ency, high cost and often long</w:t>
      </w:r>
      <w:r w:rsidRPr="00DF7CA2">
        <w:rPr>
          <w:rFonts w:eastAsiaTheme="minorEastAsia"/>
          <w:bCs/>
          <w:sz w:val="28"/>
          <w:szCs w:val="28"/>
          <w:lang w:val="en-US" w:eastAsia="zh-CN"/>
        </w:rPr>
        <w:t xml:space="preserve"> duration of medication </w:t>
      </w:r>
      <w:r>
        <w:rPr>
          <w:rFonts w:eastAsiaTheme="minorEastAsia"/>
          <w:bCs/>
          <w:sz w:val="28"/>
          <w:szCs w:val="28"/>
          <w:lang w:val="en-US" w:eastAsia="zh-CN"/>
        </w:rPr>
        <w:t>upon</w:t>
      </w:r>
      <w:r w:rsidRPr="00DF7CA2">
        <w:rPr>
          <w:rFonts w:eastAsiaTheme="minorEastAsia"/>
          <w:bCs/>
          <w:sz w:val="28"/>
          <w:szCs w:val="28"/>
          <w:lang w:val="en-US" w:eastAsia="zh-CN"/>
        </w:rPr>
        <w:t xml:space="preserve"> CP </w:t>
      </w:r>
      <w:r>
        <w:rPr>
          <w:rFonts w:eastAsiaTheme="minorEastAsia"/>
          <w:bCs/>
          <w:sz w:val="28"/>
          <w:szCs w:val="28"/>
          <w:lang w:val="en-US" w:eastAsia="zh-CN"/>
        </w:rPr>
        <w:t>makes</w:t>
      </w:r>
      <w:r w:rsidRPr="00DF7CA2">
        <w:rPr>
          <w:rFonts w:eastAsiaTheme="minorEastAsia"/>
          <w:bCs/>
          <w:sz w:val="28"/>
          <w:szCs w:val="28"/>
          <w:lang w:val="en-US" w:eastAsia="zh-CN"/>
        </w:rPr>
        <w:t xml:space="preserve"> patients seek </w:t>
      </w:r>
      <w:r>
        <w:rPr>
          <w:rFonts w:eastAsiaTheme="minorEastAsia"/>
          <w:bCs/>
          <w:sz w:val="28"/>
          <w:szCs w:val="28"/>
          <w:lang w:val="en-US" w:eastAsia="zh-CN"/>
        </w:rPr>
        <w:t xml:space="preserve">for </w:t>
      </w:r>
      <w:r w:rsidRPr="00DF7CA2">
        <w:rPr>
          <w:rFonts w:eastAsiaTheme="minorEastAsia"/>
          <w:bCs/>
          <w:sz w:val="28"/>
          <w:szCs w:val="28"/>
          <w:lang w:val="en-US" w:eastAsia="zh-CN"/>
        </w:rPr>
        <w:t>new non-pharmacologi</w:t>
      </w:r>
      <w:r>
        <w:rPr>
          <w:rFonts w:eastAsiaTheme="minorEastAsia"/>
          <w:bCs/>
          <w:sz w:val="28"/>
          <w:szCs w:val="28"/>
          <w:lang w:val="en-US" w:eastAsia="zh-CN"/>
        </w:rPr>
        <w:t>cal means to overcome the disease</w:t>
      </w:r>
      <w:r w:rsidRPr="00DF7CA2">
        <w:rPr>
          <w:rFonts w:eastAsiaTheme="minorEastAsia"/>
          <w:bCs/>
          <w:sz w:val="28"/>
          <w:szCs w:val="28"/>
          <w:lang w:val="en-US" w:eastAsia="zh-CN"/>
        </w:rPr>
        <w:t xml:space="preserve">. </w:t>
      </w:r>
      <w:r>
        <w:rPr>
          <w:rFonts w:eastAsiaTheme="minorEastAsia"/>
          <w:bCs/>
          <w:sz w:val="28"/>
          <w:szCs w:val="28"/>
          <w:lang w:val="en-US" w:eastAsia="zh-CN"/>
        </w:rPr>
        <w:t>A</w:t>
      </w:r>
      <w:r w:rsidRPr="00DF7CA2">
        <w:rPr>
          <w:rFonts w:eastAsiaTheme="minorEastAsia"/>
          <w:bCs/>
          <w:sz w:val="28"/>
          <w:szCs w:val="28"/>
          <w:lang w:val="en-US" w:eastAsia="zh-CN"/>
        </w:rPr>
        <w:t xml:space="preserve">rticle </w:t>
      </w:r>
      <w:r>
        <w:rPr>
          <w:rFonts w:eastAsiaTheme="minorEastAsia"/>
          <w:bCs/>
          <w:sz w:val="28"/>
          <w:szCs w:val="28"/>
          <w:lang w:val="en-US" w:eastAsia="zh-CN"/>
        </w:rPr>
        <w:t xml:space="preserve">justifies </w:t>
      </w:r>
      <w:r w:rsidRPr="00DF7CA2">
        <w:rPr>
          <w:rFonts w:eastAsiaTheme="minorEastAsia"/>
          <w:bCs/>
          <w:sz w:val="28"/>
          <w:szCs w:val="28"/>
          <w:lang w:val="en-US" w:eastAsia="zh-CN"/>
        </w:rPr>
        <w:t xml:space="preserve">the </w:t>
      </w:r>
      <w:r>
        <w:rPr>
          <w:rFonts w:eastAsiaTheme="minorEastAsia"/>
          <w:bCs/>
          <w:sz w:val="28"/>
          <w:szCs w:val="28"/>
          <w:lang w:val="en-US" w:eastAsia="zh-CN"/>
        </w:rPr>
        <w:t>reasonability</w:t>
      </w:r>
      <w:r w:rsidRPr="00DF7CA2">
        <w:rPr>
          <w:rFonts w:eastAsiaTheme="minorEastAsia"/>
          <w:bCs/>
          <w:sz w:val="28"/>
          <w:szCs w:val="28"/>
          <w:lang w:val="en-US" w:eastAsia="zh-CN"/>
        </w:rPr>
        <w:t xml:space="preserve"> of </w:t>
      </w:r>
      <w:r>
        <w:rPr>
          <w:rFonts w:eastAsiaTheme="minorEastAsia"/>
          <w:bCs/>
          <w:sz w:val="28"/>
          <w:szCs w:val="28"/>
          <w:lang w:val="en-US" w:eastAsia="zh-CN"/>
        </w:rPr>
        <w:t>including</w:t>
      </w:r>
      <w:r w:rsidRPr="00DF7CA2">
        <w:rPr>
          <w:rFonts w:eastAsiaTheme="minorEastAsia"/>
          <w:bCs/>
          <w:sz w:val="28"/>
          <w:szCs w:val="28"/>
          <w:lang w:val="en-US" w:eastAsia="zh-CN"/>
        </w:rPr>
        <w:t xml:space="preserve"> a </w:t>
      </w:r>
      <w:r w:rsidR="005E438C" w:rsidRPr="005E438C">
        <w:rPr>
          <w:rFonts w:eastAsiaTheme="minorEastAsia"/>
          <w:bCs/>
          <w:sz w:val="28"/>
          <w:szCs w:val="28"/>
          <w:lang w:val="en-US" w:eastAsia="zh-CN"/>
        </w:rPr>
        <w:t xml:space="preserve">dynamic </w:t>
      </w:r>
      <w:proofErr w:type="spellStart"/>
      <w:r w:rsidR="005E438C" w:rsidRPr="005E438C">
        <w:rPr>
          <w:rFonts w:eastAsiaTheme="minorEastAsia"/>
          <w:bCs/>
          <w:sz w:val="28"/>
          <w:szCs w:val="28"/>
          <w:lang w:val="en-US" w:eastAsia="zh-CN"/>
        </w:rPr>
        <w:t>electroneurostimulation</w:t>
      </w:r>
      <w:proofErr w:type="spellEnd"/>
      <w:r w:rsidR="005E438C" w:rsidRPr="005E438C">
        <w:rPr>
          <w:rFonts w:eastAsiaTheme="minorEastAsia"/>
          <w:bCs/>
          <w:sz w:val="28"/>
          <w:szCs w:val="28"/>
          <w:lang w:val="en-US" w:eastAsia="zh-CN"/>
        </w:rPr>
        <w:t xml:space="preserve"> </w:t>
      </w:r>
      <w:r w:rsidR="005E438C">
        <w:rPr>
          <w:rFonts w:eastAsiaTheme="minorEastAsia"/>
          <w:bCs/>
          <w:sz w:val="28"/>
          <w:szCs w:val="28"/>
          <w:lang w:val="en-US" w:eastAsia="zh-CN"/>
        </w:rPr>
        <w:t>according to</w:t>
      </w:r>
      <w:r w:rsidR="005E438C" w:rsidRPr="00DF7CA2">
        <w:rPr>
          <w:rFonts w:eastAsiaTheme="minorEastAsia"/>
          <w:bCs/>
          <w:sz w:val="28"/>
          <w:szCs w:val="28"/>
          <w:lang w:val="en-US" w:eastAsia="zh-CN"/>
        </w:rPr>
        <w:t xml:space="preserve"> proposed method</w:t>
      </w:r>
      <w:r w:rsidR="005E438C">
        <w:rPr>
          <w:rFonts w:eastAsiaTheme="minorEastAsia"/>
          <w:bCs/>
          <w:sz w:val="28"/>
          <w:szCs w:val="28"/>
          <w:lang w:val="en-US" w:eastAsia="zh-CN"/>
        </w:rPr>
        <w:t>s</w:t>
      </w:r>
      <w:r w:rsidR="005E438C" w:rsidRPr="00DF7CA2">
        <w:rPr>
          <w:rFonts w:eastAsiaTheme="minorEastAsia"/>
          <w:bCs/>
          <w:sz w:val="28"/>
          <w:szCs w:val="28"/>
          <w:lang w:val="en-US" w:eastAsia="zh-CN"/>
        </w:rPr>
        <w:t xml:space="preserve"> </w:t>
      </w:r>
      <w:r w:rsidR="005E438C">
        <w:rPr>
          <w:rFonts w:eastAsiaTheme="minorEastAsia"/>
          <w:bCs/>
          <w:sz w:val="28"/>
          <w:szCs w:val="28"/>
          <w:lang w:val="en-US" w:eastAsia="zh-CN"/>
        </w:rPr>
        <w:t>for</w:t>
      </w:r>
      <w:r w:rsidR="005E438C" w:rsidRPr="00DF7CA2">
        <w:rPr>
          <w:rFonts w:eastAsiaTheme="minorEastAsia"/>
          <w:bCs/>
          <w:sz w:val="28"/>
          <w:szCs w:val="28"/>
          <w:lang w:val="en-US" w:eastAsia="zh-CN"/>
        </w:rPr>
        <w:t xml:space="preserve"> </w:t>
      </w:r>
      <w:r w:rsidR="005E438C">
        <w:rPr>
          <w:rFonts w:eastAsiaTheme="minorEastAsia"/>
          <w:bCs/>
          <w:sz w:val="28"/>
          <w:szCs w:val="28"/>
          <w:lang w:val="en-US" w:eastAsia="zh-CN"/>
        </w:rPr>
        <w:t xml:space="preserve">the </w:t>
      </w:r>
      <w:r w:rsidR="005E438C" w:rsidRPr="00DF7CA2">
        <w:rPr>
          <w:rFonts w:eastAsiaTheme="minorEastAsia"/>
          <w:bCs/>
          <w:sz w:val="28"/>
          <w:szCs w:val="28"/>
          <w:lang w:val="en-US" w:eastAsia="zh-CN"/>
        </w:rPr>
        <w:t>improve</w:t>
      </w:r>
      <w:r w:rsidR="005E438C">
        <w:rPr>
          <w:rFonts w:eastAsiaTheme="minorEastAsia"/>
          <w:bCs/>
          <w:sz w:val="28"/>
          <w:szCs w:val="28"/>
          <w:lang w:val="en-US" w:eastAsia="zh-CN"/>
        </w:rPr>
        <w:t>ment of</w:t>
      </w:r>
      <w:r w:rsidR="005E438C" w:rsidRPr="00DF7CA2">
        <w:rPr>
          <w:rFonts w:eastAsiaTheme="minorEastAsia"/>
          <w:bCs/>
          <w:sz w:val="28"/>
          <w:szCs w:val="28"/>
          <w:lang w:val="en-US" w:eastAsia="zh-CN"/>
        </w:rPr>
        <w:t xml:space="preserve"> clinical symptom</w:t>
      </w:r>
      <w:r w:rsidR="005E438C">
        <w:rPr>
          <w:rFonts w:eastAsiaTheme="minorEastAsia"/>
          <w:bCs/>
          <w:sz w:val="28"/>
          <w:szCs w:val="28"/>
          <w:lang w:val="en-US" w:eastAsia="zh-CN"/>
        </w:rPr>
        <w:t xml:space="preserve">s (pain, </w:t>
      </w:r>
      <w:proofErr w:type="spellStart"/>
      <w:r w:rsidR="005E438C">
        <w:rPr>
          <w:rFonts w:eastAsiaTheme="minorEastAsia"/>
          <w:bCs/>
          <w:sz w:val="28"/>
          <w:szCs w:val="28"/>
          <w:lang w:val="en-US" w:eastAsia="zh-CN"/>
        </w:rPr>
        <w:t>asthenoneurotic</w:t>
      </w:r>
      <w:proofErr w:type="spellEnd"/>
      <w:r w:rsidR="005E438C">
        <w:rPr>
          <w:rFonts w:eastAsiaTheme="minorEastAsia"/>
          <w:bCs/>
          <w:sz w:val="28"/>
          <w:szCs w:val="28"/>
          <w:lang w:val="en-US" w:eastAsia="zh-CN"/>
        </w:rPr>
        <w:t>, dyspeptic, allergic syndromes</w:t>
      </w:r>
      <w:r w:rsidR="005E438C" w:rsidRPr="00DF7CA2">
        <w:rPr>
          <w:rFonts w:eastAsiaTheme="minorEastAsia"/>
          <w:bCs/>
          <w:sz w:val="28"/>
          <w:szCs w:val="28"/>
          <w:lang w:val="en-US" w:eastAsia="zh-CN"/>
        </w:rPr>
        <w:t xml:space="preserve">, anemia, </w:t>
      </w:r>
      <w:proofErr w:type="spellStart"/>
      <w:r w:rsidR="005E438C">
        <w:rPr>
          <w:rFonts w:eastAsiaTheme="minorEastAsia"/>
          <w:bCs/>
          <w:sz w:val="28"/>
          <w:szCs w:val="28"/>
          <w:lang w:val="en-US" w:eastAsia="zh-CN"/>
        </w:rPr>
        <w:t>hypovitaminosis</w:t>
      </w:r>
      <w:proofErr w:type="spellEnd"/>
      <w:r w:rsidR="005E438C">
        <w:rPr>
          <w:rFonts w:eastAsiaTheme="minorEastAsia"/>
          <w:bCs/>
          <w:sz w:val="28"/>
          <w:szCs w:val="28"/>
          <w:lang w:val="en-US" w:eastAsia="zh-CN"/>
        </w:rPr>
        <w:t xml:space="preserve"> and </w:t>
      </w:r>
      <w:proofErr w:type="spellStart"/>
      <w:r w:rsidR="005E438C">
        <w:rPr>
          <w:rFonts w:eastAsiaTheme="minorEastAsia"/>
          <w:bCs/>
          <w:sz w:val="28"/>
          <w:szCs w:val="28"/>
          <w:lang w:val="en-US" w:eastAsia="zh-CN"/>
        </w:rPr>
        <w:t>steatorrhea</w:t>
      </w:r>
      <w:proofErr w:type="spellEnd"/>
      <w:r w:rsidR="005E438C" w:rsidRPr="00DF7CA2">
        <w:rPr>
          <w:rFonts w:eastAsiaTheme="minorEastAsia"/>
          <w:bCs/>
          <w:sz w:val="28"/>
          <w:szCs w:val="28"/>
          <w:lang w:val="en-US" w:eastAsia="zh-CN"/>
        </w:rPr>
        <w:t>)</w:t>
      </w:r>
      <w:r w:rsidR="005E438C">
        <w:rPr>
          <w:rFonts w:eastAsiaTheme="minorEastAsia"/>
          <w:bCs/>
          <w:sz w:val="28"/>
          <w:szCs w:val="28"/>
          <w:lang w:val="en-US" w:eastAsia="zh-CN"/>
        </w:rPr>
        <w:t xml:space="preserve"> into a </w:t>
      </w:r>
      <w:r w:rsidRPr="00DF7CA2">
        <w:rPr>
          <w:rFonts w:eastAsiaTheme="minorEastAsia"/>
          <w:bCs/>
          <w:sz w:val="28"/>
          <w:szCs w:val="28"/>
          <w:lang w:val="en-US" w:eastAsia="zh-CN"/>
        </w:rPr>
        <w:t xml:space="preserve">complex treatment and rehabilitation of patients with CP </w:t>
      </w:r>
      <w:r w:rsidR="005E438C">
        <w:rPr>
          <w:rFonts w:eastAsiaTheme="minorEastAsia"/>
          <w:bCs/>
          <w:sz w:val="28"/>
          <w:szCs w:val="28"/>
          <w:lang w:val="en-US" w:eastAsia="zh-CN"/>
        </w:rPr>
        <w:t xml:space="preserve">as </w:t>
      </w:r>
      <w:r w:rsidRPr="00DF7CA2">
        <w:rPr>
          <w:rFonts w:eastAsiaTheme="minorEastAsia"/>
          <w:bCs/>
          <w:sz w:val="28"/>
          <w:szCs w:val="28"/>
          <w:lang w:val="en-US" w:eastAsia="zh-CN"/>
        </w:rPr>
        <w:t>compare</w:t>
      </w:r>
      <w:r w:rsidR="005E438C">
        <w:rPr>
          <w:rFonts w:eastAsiaTheme="minorEastAsia"/>
          <w:bCs/>
          <w:sz w:val="28"/>
          <w:szCs w:val="28"/>
          <w:lang w:val="en-US" w:eastAsia="zh-CN"/>
        </w:rPr>
        <w:t>d with a conventional treatment</w:t>
      </w:r>
      <w:r w:rsidRPr="00DF7CA2">
        <w:rPr>
          <w:rFonts w:eastAsiaTheme="minorEastAsia"/>
          <w:bCs/>
          <w:sz w:val="28"/>
          <w:szCs w:val="28"/>
          <w:lang w:val="en-US" w:eastAsia="zh-CN"/>
        </w:rPr>
        <w:t xml:space="preserve">. </w:t>
      </w:r>
      <w:r w:rsidR="005E438C">
        <w:rPr>
          <w:rFonts w:eastAsiaTheme="minorEastAsia"/>
          <w:bCs/>
          <w:sz w:val="28"/>
          <w:szCs w:val="28"/>
          <w:lang w:val="en-US" w:eastAsia="zh-CN"/>
        </w:rPr>
        <w:t xml:space="preserve">It is </w:t>
      </w:r>
      <w:r w:rsidR="00873F75">
        <w:rPr>
          <w:rFonts w:eastAsiaTheme="minorEastAsia"/>
          <w:bCs/>
          <w:sz w:val="28"/>
          <w:szCs w:val="28"/>
          <w:lang w:val="en-US" w:eastAsia="zh-CN"/>
        </w:rPr>
        <w:t>proved</w:t>
      </w:r>
      <w:r w:rsidR="005E438C">
        <w:rPr>
          <w:rFonts w:eastAsiaTheme="minorEastAsia"/>
          <w:bCs/>
          <w:sz w:val="28"/>
          <w:szCs w:val="28"/>
          <w:lang w:val="en-US" w:eastAsia="zh-CN"/>
        </w:rPr>
        <w:t xml:space="preserve"> a</w:t>
      </w:r>
      <w:r w:rsidRPr="00DF7CA2">
        <w:rPr>
          <w:rFonts w:eastAsiaTheme="minorEastAsia"/>
          <w:bCs/>
          <w:sz w:val="28"/>
          <w:szCs w:val="28"/>
          <w:lang w:val="en-US" w:eastAsia="zh-CN"/>
        </w:rPr>
        <w:t xml:space="preserve">fter </w:t>
      </w:r>
      <w:r w:rsidR="005E438C">
        <w:rPr>
          <w:rFonts w:eastAsiaTheme="minorEastAsia"/>
          <w:bCs/>
          <w:sz w:val="28"/>
          <w:szCs w:val="28"/>
          <w:lang w:val="en-US" w:eastAsia="zh-CN"/>
        </w:rPr>
        <w:t xml:space="preserve">the </w:t>
      </w:r>
      <w:r w:rsidRPr="00DF7CA2">
        <w:rPr>
          <w:rFonts w:eastAsiaTheme="minorEastAsia"/>
          <w:bCs/>
          <w:sz w:val="28"/>
          <w:szCs w:val="28"/>
          <w:lang w:val="en-US" w:eastAsia="zh-CN"/>
        </w:rPr>
        <w:t xml:space="preserve">complex therapeutic </w:t>
      </w:r>
      <w:r w:rsidR="005E438C">
        <w:rPr>
          <w:rFonts w:eastAsiaTheme="minorEastAsia"/>
          <w:bCs/>
          <w:sz w:val="28"/>
          <w:szCs w:val="28"/>
          <w:lang w:val="en-US" w:eastAsia="zh-CN"/>
        </w:rPr>
        <w:t>measures</w:t>
      </w:r>
      <w:r w:rsidRPr="00DF7CA2">
        <w:rPr>
          <w:rFonts w:eastAsiaTheme="minorEastAsia"/>
          <w:bCs/>
          <w:sz w:val="28"/>
          <w:szCs w:val="28"/>
          <w:lang w:val="en-US" w:eastAsia="zh-CN"/>
        </w:rPr>
        <w:t xml:space="preserve"> that </w:t>
      </w:r>
      <w:r w:rsidR="00873F75">
        <w:rPr>
          <w:rFonts w:eastAsiaTheme="minorEastAsia"/>
          <w:bCs/>
          <w:sz w:val="28"/>
          <w:szCs w:val="28"/>
          <w:lang w:val="en-US" w:eastAsia="zh-CN"/>
        </w:rPr>
        <w:t>state</w:t>
      </w:r>
      <w:r w:rsidRPr="00DF7CA2">
        <w:rPr>
          <w:rFonts w:eastAsiaTheme="minorEastAsia"/>
          <w:bCs/>
          <w:sz w:val="28"/>
          <w:szCs w:val="28"/>
          <w:lang w:val="en-US" w:eastAsia="zh-CN"/>
        </w:rPr>
        <w:t xml:space="preserve"> of patients</w:t>
      </w:r>
      <w:r w:rsidR="00873F75">
        <w:rPr>
          <w:rFonts w:eastAsiaTheme="minorEastAsia"/>
          <w:bCs/>
          <w:sz w:val="28"/>
          <w:szCs w:val="28"/>
          <w:lang w:val="en-US" w:eastAsia="zh-CN"/>
        </w:rPr>
        <w:t>,</w:t>
      </w:r>
      <w:r w:rsidRPr="00DF7CA2">
        <w:rPr>
          <w:rFonts w:eastAsiaTheme="minorEastAsia"/>
          <w:bCs/>
          <w:sz w:val="28"/>
          <w:szCs w:val="28"/>
          <w:lang w:val="en-US" w:eastAsia="zh-CN"/>
        </w:rPr>
        <w:t xml:space="preserve"> receiving conventional treatment, improved by an average of 46% , results of </w:t>
      </w:r>
      <w:r w:rsidR="00FD05EF" w:rsidRPr="00DF7CA2">
        <w:rPr>
          <w:rFonts w:eastAsiaTheme="minorEastAsia"/>
          <w:bCs/>
          <w:sz w:val="28"/>
          <w:szCs w:val="28"/>
          <w:lang w:val="en-US" w:eastAsia="zh-CN"/>
        </w:rPr>
        <w:t xml:space="preserve">patients </w:t>
      </w:r>
      <w:r w:rsidR="00FD05EF">
        <w:rPr>
          <w:rFonts w:eastAsiaTheme="minorEastAsia"/>
          <w:bCs/>
          <w:sz w:val="28"/>
          <w:szCs w:val="28"/>
          <w:lang w:val="en-US" w:eastAsia="zh-CN"/>
        </w:rPr>
        <w:t>of group 2 improved by 53%</w:t>
      </w:r>
      <w:r w:rsidRPr="00DF7CA2">
        <w:rPr>
          <w:rFonts w:eastAsiaTheme="minorEastAsia"/>
          <w:bCs/>
          <w:sz w:val="28"/>
          <w:szCs w:val="28"/>
          <w:lang w:val="en-US" w:eastAsia="zh-CN"/>
        </w:rPr>
        <w:t xml:space="preserve">, and rates of </w:t>
      </w:r>
      <w:r w:rsidR="00FD05EF">
        <w:rPr>
          <w:rFonts w:eastAsiaTheme="minorEastAsia"/>
          <w:bCs/>
          <w:sz w:val="28"/>
          <w:szCs w:val="28"/>
          <w:lang w:val="en-US" w:eastAsia="zh-CN"/>
        </w:rPr>
        <w:t>group 3 ― by 55% (p&lt;0.05)</w:t>
      </w:r>
      <w:r w:rsidRPr="00DF7CA2">
        <w:rPr>
          <w:rFonts w:eastAsiaTheme="minorEastAsia"/>
          <w:bCs/>
          <w:sz w:val="28"/>
          <w:szCs w:val="28"/>
          <w:lang w:val="en-US" w:eastAsia="zh-CN"/>
        </w:rPr>
        <w:t xml:space="preserve">. </w:t>
      </w:r>
      <w:r w:rsidR="00FD05EF">
        <w:rPr>
          <w:rFonts w:eastAsiaTheme="minorEastAsia"/>
          <w:bCs/>
          <w:sz w:val="28"/>
          <w:szCs w:val="28"/>
          <w:lang w:val="en-US" w:eastAsia="zh-CN"/>
        </w:rPr>
        <w:t>Having compared the results of groups 2 and 3</w:t>
      </w:r>
      <w:r w:rsidRPr="00DF7CA2">
        <w:rPr>
          <w:rFonts w:eastAsiaTheme="minorEastAsia"/>
          <w:bCs/>
          <w:sz w:val="28"/>
          <w:szCs w:val="28"/>
          <w:lang w:val="en-US" w:eastAsia="zh-CN"/>
        </w:rPr>
        <w:t xml:space="preserve">, it was </w:t>
      </w:r>
      <w:r w:rsidR="00FD05EF">
        <w:rPr>
          <w:rFonts w:eastAsiaTheme="minorEastAsia"/>
          <w:bCs/>
          <w:sz w:val="28"/>
          <w:szCs w:val="28"/>
          <w:lang w:val="en-US" w:eastAsia="zh-CN"/>
        </w:rPr>
        <w:t>determined</w:t>
      </w:r>
      <w:r w:rsidRPr="00DF7CA2">
        <w:rPr>
          <w:rFonts w:eastAsiaTheme="minorEastAsia"/>
          <w:bCs/>
          <w:sz w:val="28"/>
          <w:szCs w:val="28"/>
          <w:lang w:val="en-US" w:eastAsia="zh-CN"/>
        </w:rPr>
        <w:t xml:space="preserve"> that </w:t>
      </w:r>
      <w:r w:rsidR="00FD05EF">
        <w:rPr>
          <w:rFonts w:eastAsiaTheme="minorEastAsia"/>
          <w:bCs/>
          <w:sz w:val="28"/>
          <w:szCs w:val="28"/>
          <w:lang w:val="en-US" w:eastAsia="zh-CN"/>
        </w:rPr>
        <w:t xml:space="preserve">indices </w:t>
      </w:r>
      <w:r w:rsidR="00AD0769">
        <w:rPr>
          <w:rFonts w:eastAsiaTheme="minorEastAsia"/>
          <w:bCs/>
          <w:sz w:val="28"/>
          <w:szCs w:val="28"/>
          <w:lang w:val="en-US" w:eastAsia="zh-CN"/>
        </w:rPr>
        <w:t>in terms</w:t>
      </w:r>
      <w:r w:rsidR="00FD05EF" w:rsidRPr="00DF7CA2">
        <w:rPr>
          <w:rFonts w:eastAsiaTheme="minorEastAsia"/>
          <w:bCs/>
          <w:sz w:val="28"/>
          <w:szCs w:val="28"/>
          <w:lang w:val="en-US" w:eastAsia="zh-CN"/>
        </w:rPr>
        <w:t xml:space="preserve"> </w:t>
      </w:r>
      <w:r w:rsidR="00FD05EF">
        <w:rPr>
          <w:rFonts w:eastAsiaTheme="minorEastAsia"/>
          <w:bCs/>
          <w:sz w:val="28"/>
          <w:szCs w:val="28"/>
          <w:lang w:val="en-US" w:eastAsia="zh-CN"/>
        </w:rPr>
        <w:t>of dyspeptic</w:t>
      </w:r>
      <w:r w:rsidR="00FD05EF" w:rsidRPr="00DF7CA2">
        <w:rPr>
          <w:rFonts w:eastAsiaTheme="minorEastAsia"/>
          <w:bCs/>
          <w:sz w:val="28"/>
          <w:szCs w:val="28"/>
          <w:lang w:val="en-US" w:eastAsia="zh-CN"/>
        </w:rPr>
        <w:t xml:space="preserve">, allergic syndromes and </w:t>
      </w:r>
      <w:proofErr w:type="spellStart"/>
      <w:r w:rsidR="00FD05EF" w:rsidRPr="00DF7CA2">
        <w:rPr>
          <w:rFonts w:eastAsiaTheme="minorEastAsia"/>
          <w:bCs/>
          <w:sz w:val="28"/>
          <w:szCs w:val="28"/>
          <w:lang w:val="en-US" w:eastAsia="zh-CN"/>
        </w:rPr>
        <w:t>steatorrhea</w:t>
      </w:r>
      <w:proofErr w:type="spellEnd"/>
      <w:r w:rsidR="00FD05EF" w:rsidRPr="00DF7CA2">
        <w:rPr>
          <w:rFonts w:eastAsiaTheme="minorEastAsia"/>
          <w:bCs/>
          <w:sz w:val="28"/>
          <w:szCs w:val="28"/>
          <w:lang w:val="en-US" w:eastAsia="zh-CN"/>
        </w:rPr>
        <w:t xml:space="preserve"> were significantly better </w:t>
      </w:r>
      <w:r w:rsidR="00FD05EF">
        <w:rPr>
          <w:rFonts w:eastAsiaTheme="minorEastAsia"/>
          <w:bCs/>
          <w:sz w:val="28"/>
          <w:szCs w:val="28"/>
          <w:lang w:val="en-US" w:eastAsia="zh-CN"/>
        </w:rPr>
        <w:t>upon</w:t>
      </w:r>
      <w:r w:rsidRPr="00DF7CA2">
        <w:rPr>
          <w:rFonts w:eastAsiaTheme="minorEastAsia"/>
          <w:bCs/>
          <w:sz w:val="28"/>
          <w:szCs w:val="28"/>
          <w:lang w:val="en-US" w:eastAsia="zh-CN"/>
        </w:rPr>
        <w:t xml:space="preserve"> </w:t>
      </w:r>
      <w:r w:rsidR="00FD05EF">
        <w:rPr>
          <w:rFonts w:eastAsiaTheme="minorEastAsia"/>
          <w:bCs/>
          <w:sz w:val="28"/>
          <w:szCs w:val="28"/>
          <w:lang w:val="en-US" w:eastAsia="zh-CN"/>
        </w:rPr>
        <w:t>the exposure</w:t>
      </w:r>
      <w:r w:rsidRPr="00DF7CA2">
        <w:rPr>
          <w:rFonts w:eastAsiaTheme="minorEastAsia"/>
          <w:bCs/>
          <w:sz w:val="28"/>
          <w:szCs w:val="28"/>
          <w:lang w:val="en-US" w:eastAsia="zh-CN"/>
        </w:rPr>
        <w:t xml:space="preserve"> </w:t>
      </w:r>
      <w:r w:rsidR="00FD05EF">
        <w:rPr>
          <w:rFonts w:eastAsiaTheme="minorEastAsia"/>
          <w:bCs/>
          <w:sz w:val="28"/>
          <w:szCs w:val="28"/>
          <w:lang w:val="en-US" w:eastAsia="zh-CN"/>
        </w:rPr>
        <w:t xml:space="preserve">on </w:t>
      </w:r>
      <w:r w:rsidRPr="00DF7CA2">
        <w:rPr>
          <w:rFonts w:eastAsiaTheme="minorEastAsia"/>
          <w:bCs/>
          <w:sz w:val="28"/>
          <w:szCs w:val="28"/>
          <w:lang w:val="en-US" w:eastAsia="zh-CN"/>
        </w:rPr>
        <w:t xml:space="preserve">segmental zones. </w:t>
      </w:r>
      <w:r w:rsidR="00FD05EF">
        <w:rPr>
          <w:rFonts w:eastAsiaTheme="minorEastAsia"/>
          <w:bCs/>
          <w:sz w:val="28"/>
          <w:szCs w:val="28"/>
          <w:lang w:val="en-US" w:eastAsia="zh-CN"/>
        </w:rPr>
        <w:t>S</w:t>
      </w:r>
      <w:r w:rsidRPr="00DF7CA2">
        <w:rPr>
          <w:rFonts w:eastAsiaTheme="minorEastAsia"/>
          <w:bCs/>
          <w:sz w:val="28"/>
          <w:szCs w:val="28"/>
          <w:lang w:val="en-US" w:eastAsia="zh-CN"/>
        </w:rPr>
        <w:t xml:space="preserve">ignificant advantage </w:t>
      </w:r>
      <w:r w:rsidR="005B2B5E">
        <w:rPr>
          <w:rFonts w:eastAsiaTheme="minorEastAsia"/>
          <w:bCs/>
          <w:sz w:val="28"/>
          <w:szCs w:val="28"/>
          <w:lang w:val="en-US" w:eastAsia="zh-CN"/>
        </w:rPr>
        <w:t>was</w:t>
      </w:r>
      <w:r w:rsidR="00FD05EF">
        <w:rPr>
          <w:rFonts w:eastAsiaTheme="minorEastAsia"/>
          <w:bCs/>
          <w:sz w:val="28"/>
          <w:szCs w:val="28"/>
          <w:lang w:val="en-US" w:eastAsia="zh-CN"/>
        </w:rPr>
        <w:t xml:space="preserve"> </w:t>
      </w:r>
      <w:r w:rsidR="00FD05EF" w:rsidRPr="00DF7CA2">
        <w:rPr>
          <w:rFonts w:eastAsiaTheme="minorEastAsia"/>
          <w:bCs/>
          <w:sz w:val="28"/>
          <w:szCs w:val="28"/>
          <w:lang w:val="en-US" w:eastAsia="zh-CN"/>
        </w:rPr>
        <w:t xml:space="preserve">identified </w:t>
      </w:r>
      <w:r w:rsidR="00AD0769" w:rsidRPr="00DF7CA2">
        <w:rPr>
          <w:rFonts w:eastAsiaTheme="minorEastAsia"/>
          <w:bCs/>
          <w:sz w:val="28"/>
          <w:szCs w:val="28"/>
          <w:lang w:val="en-US" w:eastAsia="zh-CN"/>
        </w:rPr>
        <w:t xml:space="preserve">in </w:t>
      </w:r>
      <w:r w:rsidR="00AD0769">
        <w:rPr>
          <w:rFonts w:eastAsiaTheme="minorEastAsia"/>
          <w:bCs/>
          <w:sz w:val="28"/>
          <w:szCs w:val="28"/>
          <w:lang w:val="en-US" w:eastAsia="zh-CN"/>
        </w:rPr>
        <w:t xml:space="preserve">indices </w:t>
      </w:r>
      <w:r w:rsidR="00AD0769" w:rsidRPr="00DF7CA2">
        <w:rPr>
          <w:rFonts w:eastAsiaTheme="minorEastAsia"/>
          <w:bCs/>
          <w:sz w:val="28"/>
          <w:szCs w:val="28"/>
          <w:lang w:val="en-US" w:eastAsia="zh-CN"/>
        </w:rPr>
        <w:t xml:space="preserve">of pain and </w:t>
      </w:r>
      <w:proofErr w:type="spellStart"/>
      <w:r w:rsidR="00AD0769" w:rsidRPr="00DF7CA2">
        <w:rPr>
          <w:rFonts w:eastAsiaTheme="minorEastAsia"/>
          <w:bCs/>
          <w:sz w:val="28"/>
          <w:szCs w:val="28"/>
          <w:lang w:val="en-US" w:eastAsia="zh-CN"/>
        </w:rPr>
        <w:t>asthenoneurotic</w:t>
      </w:r>
      <w:proofErr w:type="spellEnd"/>
      <w:r w:rsidR="00AD0769" w:rsidRPr="00DF7CA2">
        <w:rPr>
          <w:rFonts w:eastAsiaTheme="minorEastAsia"/>
          <w:bCs/>
          <w:sz w:val="28"/>
          <w:szCs w:val="28"/>
          <w:lang w:val="en-US" w:eastAsia="zh-CN"/>
        </w:rPr>
        <w:t xml:space="preserve"> syndromes </w:t>
      </w:r>
      <w:r w:rsidR="00AD0769">
        <w:rPr>
          <w:rFonts w:eastAsiaTheme="minorEastAsia"/>
          <w:bCs/>
          <w:sz w:val="28"/>
          <w:szCs w:val="28"/>
          <w:lang w:val="en-US" w:eastAsia="zh-CN"/>
        </w:rPr>
        <w:t>upon</w:t>
      </w:r>
      <w:r w:rsidRPr="00DF7CA2">
        <w:rPr>
          <w:rFonts w:eastAsiaTheme="minorEastAsia"/>
          <w:bCs/>
          <w:sz w:val="28"/>
          <w:szCs w:val="28"/>
          <w:lang w:val="en-US" w:eastAsia="zh-CN"/>
        </w:rPr>
        <w:t xml:space="preserve"> </w:t>
      </w:r>
      <w:r w:rsidR="00AD0769">
        <w:rPr>
          <w:rFonts w:eastAsiaTheme="minorEastAsia"/>
          <w:bCs/>
          <w:sz w:val="28"/>
          <w:szCs w:val="28"/>
          <w:lang w:val="en-US" w:eastAsia="zh-CN"/>
        </w:rPr>
        <w:t>the exposure</w:t>
      </w:r>
      <w:r w:rsidR="00AD0769" w:rsidRPr="00DF7CA2">
        <w:rPr>
          <w:rFonts w:eastAsiaTheme="minorEastAsia"/>
          <w:bCs/>
          <w:sz w:val="28"/>
          <w:szCs w:val="28"/>
          <w:lang w:val="en-US" w:eastAsia="zh-CN"/>
        </w:rPr>
        <w:t xml:space="preserve"> </w:t>
      </w:r>
      <w:r w:rsidR="00AD0769">
        <w:rPr>
          <w:rFonts w:eastAsiaTheme="minorEastAsia"/>
          <w:bCs/>
          <w:sz w:val="28"/>
          <w:szCs w:val="28"/>
          <w:lang w:val="en-US" w:eastAsia="zh-CN"/>
        </w:rPr>
        <w:t xml:space="preserve">on </w:t>
      </w:r>
      <w:r w:rsidRPr="00DF7CA2">
        <w:rPr>
          <w:rFonts w:eastAsiaTheme="minorEastAsia"/>
          <w:bCs/>
          <w:sz w:val="28"/>
          <w:szCs w:val="28"/>
          <w:lang w:val="en-US" w:eastAsia="zh-CN"/>
        </w:rPr>
        <w:t>acupuncture points.</w:t>
      </w:r>
    </w:p>
    <w:p w:rsidR="00FA7CFB" w:rsidRPr="00FA7CFB" w:rsidRDefault="00FA7CFB" w:rsidP="00FA7CFB">
      <w:pPr>
        <w:spacing w:after="0" w:line="360" w:lineRule="auto"/>
        <w:ind w:firstLine="709"/>
        <w:jc w:val="both"/>
        <w:rPr>
          <w:rFonts w:eastAsiaTheme="minorEastAsia"/>
          <w:bCs/>
          <w:sz w:val="28"/>
          <w:szCs w:val="28"/>
          <w:lang w:val="uk-UA" w:eastAsia="zh-CN"/>
        </w:rPr>
      </w:pPr>
    </w:p>
    <w:p w:rsidR="00410139" w:rsidRDefault="00410139">
      <w:pPr>
        <w:rPr>
          <w:rFonts w:eastAsiaTheme="minorEastAsia"/>
          <w:sz w:val="28"/>
          <w:szCs w:val="28"/>
          <w:lang w:val="uk-UA" w:eastAsia="zh-CN"/>
        </w:rPr>
      </w:pPr>
      <w:r>
        <w:rPr>
          <w:rFonts w:eastAsiaTheme="minorEastAsia"/>
          <w:sz w:val="28"/>
          <w:szCs w:val="28"/>
          <w:lang w:val="uk-UA" w:eastAsia="zh-CN"/>
        </w:rPr>
        <w:br w:type="page"/>
      </w:r>
    </w:p>
    <w:p w:rsidR="004D2B00" w:rsidRDefault="008949C9" w:rsidP="00410139">
      <w:pPr>
        <w:spacing w:after="0" w:line="360" w:lineRule="auto"/>
        <w:jc w:val="both"/>
        <w:rPr>
          <w:rFonts w:eastAsiaTheme="minorEastAsia"/>
          <w:sz w:val="28"/>
          <w:szCs w:val="28"/>
          <w:lang w:val="uk-UA" w:eastAsia="zh-CN"/>
        </w:rPr>
      </w:pPr>
      <w:r w:rsidRPr="008949C9">
        <w:rPr>
          <w:rFonts w:eastAsiaTheme="minorEastAsia"/>
          <w:noProof/>
          <w:sz w:val="28"/>
          <w:szCs w:val="28"/>
          <w:lang w:eastAsia="zh-CN"/>
        </w:rPr>
        <w:lastRenderedPageBreak/>
        <w:drawing>
          <wp:inline distT="0" distB="0" distL="0" distR="0">
            <wp:extent cx="5505450" cy="3209925"/>
            <wp:effectExtent l="0" t="0" r="0" b="0"/>
            <wp:docPr id="2"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0139" w:rsidRPr="00410139" w:rsidRDefault="008949C9" w:rsidP="00410139">
      <w:pPr>
        <w:spacing w:after="0" w:line="360" w:lineRule="auto"/>
        <w:jc w:val="both"/>
        <w:rPr>
          <w:rFonts w:eastAsiaTheme="minorEastAsia"/>
          <w:bCs/>
          <w:sz w:val="28"/>
          <w:szCs w:val="28"/>
          <w:lang w:val="uk-UA" w:eastAsia="zh-CN"/>
        </w:rPr>
      </w:pPr>
      <w:proofErr w:type="gramStart"/>
      <w:r w:rsidRPr="008949C9">
        <w:rPr>
          <w:rFonts w:eastAsiaTheme="minorEastAsia"/>
          <w:bCs/>
          <w:sz w:val="28"/>
          <w:szCs w:val="28"/>
          <w:lang w:val="en-US" w:eastAsia="zh-CN"/>
        </w:rPr>
        <w:t>Fig.1 Dynamics of clinical symptoms under the influence of various schemes of correction.</w:t>
      </w:r>
      <w:proofErr w:type="gramEnd"/>
    </w:p>
    <w:p w:rsidR="00410139" w:rsidRDefault="00410139" w:rsidP="00410139">
      <w:pPr>
        <w:spacing w:after="0" w:line="360" w:lineRule="auto"/>
        <w:jc w:val="both"/>
        <w:rPr>
          <w:rFonts w:eastAsiaTheme="minorEastAsia"/>
          <w:sz w:val="28"/>
          <w:szCs w:val="28"/>
          <w:lang w:val="uk-UA" w:eastAsia="zh-CN"/>
        </w:rPr>
      </w:pPr>
    </w:p>
    <w:p w:rsidR="00410139" w:rsidRDefault="008949C9" w:rsidP="00410139">
      <w:pPr>
        <w:spacing w:after="0" w:line="360" w:lineRule="auto"/>
        <w:jc w:val="both"/>
        <w:rPr>
          <w:rFonts w:eastAsiaTheme="minorEastAsia"/>
          <w:sz w:val="28"/>
          <w:szCs w:val="28"/>
          <w:lang w:val="uk-UA" w:eastAsia="zh-CN"/>
        </w:rPr>
      </w:pPr>
      <w:r w:rsidRPr="008949C9">
        <w:rPr>
          <w:rFonts w:eastAsiaTheme="minorEastAsia"/>
          <w:noProof/>
          <w:sz w:val="28"/>
          <w:szCs w:val="28"/>
          <w:lang w:eastAsia="zh-CN"/>
        </w:rPr>
        <w:drawing>
          <wp:inline distT="0" distB="0" distL="0" distR="0">
            <wp:extent cx="2876550" cy="3924300"/>
            <wp:effectExtent l="19050" t="0" r="19050" b="0"/>
            <wp:docPr id="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0139" w:rsidRDefault="008949C9" w:rsidP="00410139">
      <w:pPr>
        <w:spacing w:after="0" w:line="360" w:lineRule="auto"/>
        <w:jc w:val="both"/>
        <w:rPr>
          <w:rFonts w:eastAsiaTheme="minorEastAsia"/>
          <w:bCs/>
          <w:sz w:val="28"/>
          <w:szCs w:val="28"/>
          <w:lang w:val="uk-UA" w:eastAsia="zh-CN"/>
        </w:rPr>
      </w:pPr>
      <w:r w:rsidRPr="00330CE3">
        <w:rPr>
          <w:color w:val="000000"/>
          <w:sz w:val="28"/>
          <w:szCs w:val="28"/>
          <w:lang w:val="en-US"/>
        </w:rPr>
        <w:t>Fig. 2 Indicators of LQ (in points) after the treatment according to scales of the GSRS</w:t>
      </w:r>
      <w:r w:rsidR="00410139">
        <w:rPr>
          <w:rFonts w:eastAsiaTheme="minorEastAsia"/>
          <w:bCs/>
          <w:sz w:val="28"/>
          <w:szCs w:val="28"/>
          <w:lang w:val="uk-UA" w:eastAsia="zh-CN"/>
        </w:rPr>
        <w:t>.</w:t>
      </w:r>
    </w:p>
    <w:p w:rsidR="00410139" w:rsidRDefault="00410139" w:rsidP="00410139">
      <w:pPr>
        <w:spacing w:after="0" w:line="360" w:lineRule="auto"/>
        <w:jc w:val="both"/>
        <w:rPr>
          <w:rFonts w:eastAsiaTheme="minorEastAsia"/>
          <w:bCs/>
          <w:sz w:val="28"/>
          <w:szCs w:val="28"/>
          <w:lang w:val="uk-UA" w:eastAsia="zh-CN"/>
        </w:rPr>
      </w:pPr>
    </w:p>
    <w:p w:rsidR="00410139" w:rsidRDefault="008949C9" w:rsidP="00410139">
      <w:pPr>
        <w:spacing w:after="0" w:line="360" w:lineRule="auto"/>
        <w:jc w:val="both"/>
        <w:rPr>
          <w:rFonts w:eastAsiaTheme="minorEastAsia"/>
          <w:bCs/>
          <w:sz w:val="28"/>
          <w:szCs w:val="28"/>
          <w:lang w:val="uk-UA" w:eastAsia="zh-CN"/>
        </w:rPr>
      </w:pPr>
      <w:r w:rsidRPr="008949C9">
        <w:rPr>
          <w:rFonts w:eastAsiaTheme="minorEastAsia"/>
          <w:bCs/>
          <w:noProof/>
          <w:sz w:val="28"/>
          <w:szCs w:val="28"/>
          <w:lang w:eastAsia="zh-CN"/>
        </w:rPr>
        <w:lastRenderedPageBreak/>
        <w:drawing>
          <wp:inline distT="0" distB="0" distL="0" distR="0">
            <wp:extent cx="2952750" cy="4029075"/>
            <wp:effectExtent l="19050" t="0" r="19050" b="0"/>
            <wp:docPr id="6"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0139" w:rsidRPr="00410139" w:rsidRDefault="008949C9" w:rsidP="00410139">
      <w:pPr>
        <w:spacing w:after="0" w:line="360" w:lineRule="auto"/>
        <w:jc w:val="both"/>
        <w:rPr>
          <w:rFonts w:eastAsiaTheme="minorEastAsia"/>
          <w:bCs/>
          <w:sz w:val="28"/>
          <w:szCs w:val="28"/>
          <w:lang w:val="uk-UA" w:eastAsia="zh-CN"/>
        </w:rPr>
      </w:pPr>
      <w:proofErr w:type="gramStart"/>
      <w:r>
        <w:rPr>
          <w:rFonts w:eastAsiaTheme="minorEastAsia"/>
          <w:bCs/>
          <w:sz w:val="28"/>
          <w:szCs w:val="28"/>
          <w:lang w:val="en-US" w:eastAsia="zh-CN"/>
        </w:rPr>
        <w:t>Fig</w:t>
      </w:r>
      <w:r w:rsidR="00410139" w:rsidRPr="00410139">
        <w:rPr>
          <w:rFonts w:eastAsiaTheme="minorEastAsia"/>
          <w:bCs/>
          <w:sz w:val="28"/>
          <w:szCs w:val="28"/>
          <w:lang w:val="uk-UA" w:eastAsia="zh-CN"/>
        </w:rPr>
        <w:t>. 3</w:t>
      </w:r>
      <w:r w:rsidR="00410139">
        <w:rPr>
          <w:rFonts w:eastAsiaTheme="minorEastAsia"/>
          <w:bCs/>
          <w:sz w:val="28"/>
          <w:szCs w:val="28"/>
          <w:lang w:val="uk-UA" w:eastAsia="zh-CN"/>
        </w:rPr>
        <w:t>.</w:t>
      </w:r>
      <w:proofErr w:type="gramEnd"/>
      <w:r w:rsidR="00410139" w:rsidRPr="00410139">
        <w:rPr>
          <w:rFonts w:eastAsiaTheme="minorEastAsia"/>
          <w:bCs/>
          <w:sz w:val="28"/>
          <w:szCs w:val="28"/>
          <w:lang w:val="uk-UA" w:eastAsia="zh-CN"/>
        </w:rPr>
        <w:t xml:space="preserve"> </w:t>
      </w:r>
      <w:proofErr w:type="gramStart"/>
      <w:r w:rsidRPr="00330CE3">
        <w:rPr>
          <w:color w:val="000000"/>
          <w:sz w:val="28"/>
          <w:szCs w:val="28"/>
          <w:lang w:val="en-US"/>
        </w:rPr>
        <w:t>Indicators of LQ (in points) after treatment according to scales of the SF-36 questionnaire</w:t>
      </w:r>
      <w:r>
        <w:rPr>
          <w:color w:val="000000"/>
          <w:sz w:val="28"/>
          <w:szCs w:val="28"/>
          <w:lang w:val="en-US"/>
        </w:rPr>
        <w:t>.</w:t>
      </w:r>
      <w:proofErr w:type="gramEnd"/>
    </w:p>
    <w:p w:rsidR="00410139" w:rsidRPr="00410139" w:rsidRDefault="00410139" w:rsidP="00410139">
      <w:pPr>
        <w:spacing w:after="0" w:line="360" w:lineRule="auto"/>
        <w:jc w:val="both"/>
        <w:rPr>
          <w:rFonts w:eastAsiaTheme="minorEastAsia"/>
          <w:bCs/>
          <w:sz w:val="28"/>
          <w:szCs w:val="28"/>
          <w:lang w:val="uk-UA" w:eastAsia="zh-CN"/>
        </w:rPr>
      </w:pPr>
    </w:p>
    <w:sectPr w:rsidR="00410139" w:rsidRPr="00410139" w:rsidSect="0041013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0732"/>
    <w:multiLevelType w:val="hybridMultilevel"/>
    <w:tmpl w:val="923A64D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357"/>
  <w:doNotHyphenateCaps/>
  <w:drawingGridHorizontalSpacing w:val="120"/>
  <w:displayHorizontalDrawingGridEvery w:val="2"/>
  <w:characterSpacingControl w:val="doNotCompress"/>
  <w:compat/>
  <w:rsids>
    <w:rsidRoot w:val="00A02EAA"/>
    <w:rsid w:val="00002711"/>
    <w:rsid w:val="0000277C"/>
    <w:rsid w:val="00002CEB"/>
    <w:rsid w:val="0000536C"/>
    <w:rsid w:val="00007F9C"/>
    <w:rsid w:val="00011416"/>
    <w:rsid w:val="00012129"/>
    <w:rsid w:val="0001215F"/>
    <w:rsid w:val="00012A87"/>
    <w:rsid w:val="00013E06"/>
    <w:rsid w:val="00013F31"/>
    <w:rsid w:val="0001457A"/>
    <w:rsid w:val="00016424"/>
    <w:rsid w:val="0001721E"/>
    <w:rsid w:val="00020796"/>
    <w:rsid w:val="00021B57"/>
    <w:rsid w:val="000225DF"/>
    <w:rsid w:val="000226F3"/>
    <w:rsid w:val="00024761"/>
    <w:rsid w:val="0002598E"/>
    <w:rsid w:val="00030541"/>
    <w:rsid w:val="0003139F"/>
    <w:rsid w:val="0003299B"/>
    <w:rsid w:val="00032F84"/>
    <w:rsid w:val="0003653F"/>
    <w:rsid w:val="00036A30"/>
    <w:rsid w:val="00036BDD"/>
    <w:rsid w:val="00037B45"/>
    <w:rsid w:val="00037FFE"/>
    <w:rsid w:val="00041FBA"/>
    <w:rsid w:val="00042C83"/>
    <w:rsid w:val="00042DE6"/>
    <w:rsid w:val="000445C5"/>
    <w:rsid w:val="00045179"/>
    <w:rsid w:val="0004526E"/>
    <w:rsid w:val="000465C0"/>
    <w:rsid w:val="000467E6"/>
    <w:rsid w:val="00047C9E"/>
    <w:rsid w:val="00050CA7"/>
    <w:rsid w:val="00051AB9"/>
    <w:rsid w:val="00051C6C"/>
    <w:rsid w:val="00052A66"/>
    <w:rsid w:val="000561FD"/>
    <w:rsid w:val="00057C18"/>
    <w:rsid w:val="000600A8"/>
    <w:rsid w:val="000612C6"/>
    <w:rsid w:val="00061D06"/>
    <w:rsid w:val="00064AF7"/>
    <w:rsid w:val="00065875"/>
    <w:rsid w:val="00065D3E"/>
    <w:rsid w:val="0006633F"/>
    <w:rsid w:val="0006650A"/>
    <w:rsid w:val="00066F1C"/>
    <w:rsid w:val="000675ED"/>
    <w:rsid w:val="00067C35"/>
    <w:rsid w:val="000702AC"/>
    <w:rsid w:val="00070EC3"/>
    <w:rsid w:val="00071A9F"/>
    <w:rsid w:val="00072F0E"/>
    <w:rsid w:val="00073380"/>
    <w:rsid w:val="00073FB7"/>
    <w:rsid w:val="00074483"/>
    <w:rsid w:val="00075A88"/>
    <w:rsid w:val="00075E09"/>
    <w:rsid w:val="00081D62"/>
    <w:rsid w:val="000828A5"/>
    <w:rsid w:val="0008298B"/>
    <w:rsid w:val="00084750"/>
    <w:rsid w:val="00084989"/>
    <w:rsid w:val="00084DC6"/>
    <w:rsid w:val="000856E7"/>
    <w:rsid w:val="00085847"/>
    <w:rsid w:val="000860BB"/>
    <w:rsid w:val="00086227"/>
    <w:rsid w:val="000865A5"/>
    <w:rsid w:val="000872B2"/>
    <w:rsid w:val="00094896"/>
    <w:rsid w:val="00094A35"/>
    <w:rsid w:val="00094E21"/>
    <w:rsid w:val="00095121"/>
    <w:rsid w:val="000956F5"/>
    <w:rsid w:val="00096689"/>
    <w:rsid w:val="00097AEA"/>
    <w:rsid w:val="000A2B01"/>
    <w:rsid w:val="000A55C0"/>
    <w:rsid w:val="000A56C3"/>
    <w:rsid w:val="000A5CDE"/>
    <w:rsid w:val="000A7C9D"/>
    <w:rsid w:val="000B0FD7"/>
    <w:rsid w:val="000B1652"/>
    <w:rsid w:val="000B1A63"/>
    <w:rsid w:val="000B2FB2"/>
    <w:rsid w:val="000B400F"/>
    <w:rsid w:val="000B7CED"/>
    <w:rsid w:val="000C26C4"/>
    <w:rsid w:val="000C3424"/>
    <w:rsid w:val="000C696B"/>
    <w:rsid w:val="000D4D98"/>
    <w:rsid w:val="000D506A"/>
    <w:rsid w:val="000D602C"/>
    <w:rsid w:val="000D6B66"/>
    <w:rsid w:val="000E0324"/>
    <w:rsid w:val="000E20E7"/>
    <w:rsid w:val="000E25EC"/>
    <w:rsid w:val="000E2E7A"/>
    <w:rsid w:val="000E31FD"/>
    <w:rsid w:val="000E5858"/>
    <w:rsid w:val="000E586A"/>
    <w:rsid w:val="000E59E2"/>
    <w:rsid w:val="000E5B9E"/>
    <w:rsid w:val="000F09D2"/>
    <w:rsid w:val="000F10E4"/>
    <w:rsid w:val="000F1256"/>
    <w:rsid w:val="000F2F47"/>
    <w:rsid w:val="000F3825"/>
    <w:rsid w:val="000F59D1"/>
    <w:rsid w:val="000F686E"/>
    <w:rsid w:val="000F6CEC"/>
    <w:rsid w:val="000F7D84"/>
    <w:rsid w:val="000F7F9C"/>
    <w:rsid w:val="0010093D"/>
    <w:rsid w:val="00100F26"/>
    <w:rsid w:val="00102CFE"/>
    <w:rsid w:val="00102E0D"/>
    <w:rsid w:val="001035EB"/>
    <w:rsid w:val="0010378D"/>
    <w:rsid w:val="00105B7E"/>
    <w:rsid w:val="001067F8"/>
    <w:rsid w:val="001109B4"/>
    <w:rsid w:val="00111752"/>
    <w:rsid w:val="00112CB1"/>
    <w:rsid w:val="001135C1"/>
    <w:rsid w:val="00114565"/>
    <w:rsid w:val="00115B6C"/>
    <w:rsid w:val="00116ED1"/>
    <w:rsid w:val="0012099D"/>
    <w:rsid w:val="00122084"/>
    <w:rsid w:val="00122320"/>
    <w:rsid w:val="00122CB0"/>
    <w:rsid w:val="00122D55"/>
    <w:rsid w:val="00122E30"/>
    <w:rsid w:val="0012364D"/>
    <w:rsid w:val="001245CF"/>
    <w:rsid w:val="00124912"/>
    <w:rsid w:val="00126999"/>
    <w:rsid w:val="001305DC"/>
    <w:rsid w:val="00131DA8"/>
    <w:rsid w:val="00134F7A"/>
    <w:rsid w:val="00136C78"/>
    <w:rsid w:val="00143517"/>
    <w:rsid w:val="001435AD"/>
    <w:rsid w:val="00145123"/>
    <w:rsid w:val="00150F9C"/>
    <w:rsid w:val="00154D28"/>
    <w:rsid w:val="00155299"/>
    <w:rsid w:val="001561FA"/>
    <w:rsid w:val="00160051"/>
    <w:rsid w:val="00161821"/>
    <w:rsid w:val="00161E10"/>
    <w:rsid w:val="001621A7"/>
    <w:rsid w:val="001621E3"/>
    <w:rsid w:val="00162794"/>
    <w:rsid w:val="00162800"/>
    <w:rsid w:val="001634D2"/>
    <w:rsid w:val="001642DC"/>
    <w:rsid w:val="001643B2"/>
    <w:rsid w:val="00166698"/>
    <w:rsid w:val="00167F5C"/>
    <w:rsid w:val="00170807"/>
    <w:rsid w:val="0017124E"/>
    <w:rsid w:val="001715DF"/>
    <w:rsid w:val="00171B3F"/>
    <w:rsid w:val="00176ADC"/>
    <w:rsid w:val="00180C1C"/>
    <w:rsid w:val="00180D1F"/>
    <w:rsid w:val="0018171C"/>
    <w:rsid w:val="00181770"/>
    <w:rsid w:val="00187214"/>
    <w:rsid w:val="00191F92"/>
    <w:rsid w:val="0019350C"/>
    <w:rsid w:val="00194336"/>
    <w:rsid w:val="0019532E"/>
    <w:rsid w:val="00196455"/>
    <w:rsid w:val="001A0065"/>
    <w:rsid w:val="001A0A34"/>
    <w:rsid w:val="001A14FC"/>
    <w:rsid w:val="001A3B74"/>
    <w:rsid w:val="001A3FDC"/>
    <w:rsid w:val="001A5F9B"/>
    <w:rsid w:val="001A634D"/>
    <w:rsid w:val="001A65E6"/>
    <w:rsid w:val="001A78E2"/>
    <w:rsid w:val="001B32E3"/>
    <w:rsid w:val="001B52D5"/>
    <w:rsid w:val="001B53F3"/>
    <w:rsid w:val="001B5841"/>
    <w:rsid w:val="001B67A5"/>
    <w:rsid w:val="001B69FA"/>
    <w:rsid w:val="001B7C40"/>
    <w:rsid w:val="001C098F"/>
    <w:rsid w:val="001C17A2"/>
    <w:rsid w:val="001C2B45"/>
    <w:rsid w:val="001C516C"/>
    <w:rsid w:val="001C6D4A"/>
    <w:rsid w:val="001C793E"/>
    <w:rsid w:val="001C7AE7"/>
    <w:rsid w:val="001C7D89"/>
    <w:rsid w:val="001C7FCB"/>
    <w:rsid w:val="001D1FAD"/>
    <w:rsid w:val="001D2943"/>
    <w:rsid w:val="001D3A78"/>
    <w:rsid w:val="001D45FE"/>
    <w:rsid w:val="001D505A"/>
    <w:rsid w:val="001D58C0"/>
    <w:rsid w:val="001D78EB"/>
    <w:rsid w:val="001D7BB6"/>
    <w:rsid w:val="001E00CA"/>
    <w:rsid w:val="001E05EB"/>
    <w:rsid w:val="001E30D5"/>
    <w:rsid w:val="001E36D7"/>
    <w:rsid w:val="001E56C6"/>
    <w:rsid w:val="001E7EF8"/>
    <w:rsid w:val="001F1009"/>
    <w:rsid w:val="001F1CA7"/>
    <w:rsid w:val="001F29E2"/>
    <w:rsid w:val="001F434C"/>
    <w:rsid w:val="001F517C"/>
    <w:rsid w:val="001F557A"/>
    <w:rsid w:val="001F7547"/>
    <w:rsid w:val="001F7E30"/>
    <w:rsid w:val="00201686"/>
    <w:rsid w:val="00202B33"/>
    <w:rsid w:val="00202EC9"/>
    <w:rsid w:val="00203654"/>
    <w:rsid w:val="00203A13"/>
    <w:rsid w:val="00206871"/>
    <w:rsid w:val="002075CC"/>
    <w:rsid w:val="0021200B"/>
    <w:rsid w:val="002121BE"/>
    <w:rsid w:val="00212E52"/>
    <w:rsid w:val="002138A1"/>
    <w:rsid w:val="00214999"/>
    <w:rsid w:val="002153D6"/>
    <w:rsid w:val="00216E1C"/>
    <w:rsid w:val="0021739E"/>
    <w:rsid w:val="00217F30"/>
    <w:rsid w:val="00221773"/>
    <w:rsid w:val="002277C6"/>
    <w:rsid w:val="00230A54"/>
    <w:rsid w:val="00232FBD"/>
    <w:rsid w:val="00233641"/>
    <w:rsid w:val="00233755"/>
    <w:rsid w:val="00233CFB"/>
    <w:rsid w:val="00234368"/>
    <w:rsid w:val="00234FE6"/>
    <w:rsid w:val="002352D2"/>
    <w:rsid w:val="00235B31"/>
    <w:rsid w:val="0023646A"/>
    <w:rsid w:val="002372FD"/>
    <w:rsid w:val="00237E46"/>
    <w:rsid w:val="00240487"/>
    <w:rsid w:val="002407A2"/>
    <w:rsid w:val="00240980"/>
    <w:rsid w:val="00241796"/>
    <w:rsid w:val="00244765"/>
    <w:rsid w:val="00245116"/>
    <w:rsid w:val="0025044B"/>
    <w:rsid w:val="00250ECD"/>
    <w:rsid w:val="00251287"/>
    <w:rsid w:val="0025162D"/>
    <w:rsid w:val="0025200C"/>
    <w:rsid w:val="00252CC1"/>
    <w:rsid w:val="00252DFF"/>
    <w:rsid w:val="00253D54"/>
    <w:rsid w:val="0025561D"/>
    <w:rsid w:val="00255A51"/>
    <w:rsid w:val="00255F41"/>
    <w:rsid w:val="0026067D"/>
    <w:rsid w:val="00263ABB"/>
    <w:rsid w:val="002667E0"/>
    <w:rsid w:val="00267909"/>
    <w:rsid w:val="002716F5"/>
    <w:rsid w:val="00271951"/>
    <w:rsid w:val="0027249C"/>
    <w:rsid w:val="002726D5"/>
    <w:rsid w:val="0027327E"/>
    <w:rsid w:val="002737CB"/>
    <w:rsid w:val="00273D2A"/>
    <w:rsid w:val="0027437A"/>
    <w:rsid w:val="002744F6"/>
    <w:rsid w:val="00274D4F"/>
    <w:rsid w:val="002767AA"/>
    <w:rsid w:val="00276BED"/>
    <w:rsid w:val="002800F3"/>
    <w:rsid w:val="00281FBE"/>
    <w:rsid w:val="002825E5"/>
    <w:rsid w:val="00282F8D"/>
    <w:rsid w:val="0028377D"/>
    <w:rsid w:val="002846AC"/>
    <w:rsid w:val="00284A3A"/>
    <w:rsid w:val="002855FC"/>
    <w:rsid w:val="00285785"/>
    <w:rsid w:val="00285B00"/>
    <w:rsid w:val="00285DE6"/>
    <w:rsid w:val="00286B8A"/>
    <w:rsid w:val="00287B9B"/>
    <w:rsid w:val="00287C28"/>
    <w:rsid w:val="00293F81"/>
    <w:rsid w:val="00295AAB"/>
    <w:rsid w:val="00296513"/>
    <w:rsid w:val="00296916"/>
    <w:rsid w:val="00297632"/>
    <w:rsid w:val="00297B47"/>
    <w:rsid w:val="002A0288"/>
    <w:rsid w:val="002A06AC"/>
    <w:rsid w:val="002A1211"/>
    <w:rsid w:val="002A14E5"/>
    <w:rsid w:val="002A20F4"/>
    <w:rsid w:val="002A22DC"/>
    <w:rsid w:val="002A2320"/>
    <w:rsid w:val="002A37D7"/>
    <w:rsid w:val="002A3A12"/>
    <w:rsid w:val="002A3F96"/>
    <w:rsid w:val="002A486F"/>
    <w:rsid w:val="002A6143"/>
    <w:rsid w:val="002B447E"/>
    <w:rsid w:val="002B5334"/>
    <w:rsid w:val="002B5B60"/>
    <w:rsid w:val="002B7D71"/>
    <w:rsid w:val="002C1259"/>
    <w:rsid w:val="002C26E7"/>
    <w:rsid w:val="002C2BF1"/>
    <w:rsid w:val="002C30B4"/>
    <w:rsid w:val="002C341A"/>
    <w:rsid w:val="002C4137"/>
    <w:rsid w:val="002C5DF2"/>
    <w:rsid w:val="002C60ED"/>
    <w:rsid w:val="002C7142"/>
    <w:rsid w:val="002D1CBE"/>
    <w:rsid w:val="002D54BA"/>
    <w:rsid w:val="002D70F7"/>
    <w:rsid w:val="002D7F17"/>
    <w:rsid w:val="002E0F1D"/>
    <w:rsid w:val="002E355D"/>
    <w:rsid w:val="002E7396"/>
    <w:rsid w:val="002E75CD"/>
    <w:rsid w:val="002E7A87"/>
    <w:rsid w:val="002E7A9C"/>
    <w:rsid w:val="002F05B3"/>
    <w:rsid w:val="002F06DB"/>
    <w:rsid w:val="002F2D37"/>
    <w:rsid w:val="002F41C9"/>
    <w:rsid w:val="002F57D5"/>
    <w:rsid w:val="003012F9"/>
    <w:rsid w:val="0030130C"/>
    <w:rsid w:val="0030148E"/>
    <w:rsid w:val="00301B7A"/>
    <w:rsid w:val="003024A0"/>
    <w:rsid w:val="00310258"/>
    <w:rsid w:val="00310CEB"/>
    <w:rsid w:val="00311EDD"/>
    <w:rsid w:val="003130E1"/>
    <w:rsid w:val="003131B9"/>
    <w:rsid w:val="00314765"/>
    <w:rsid w:val="00314C13"/>
    <w:rsid w:val="0031597A"/>
    <w:rsid w:val="00315C26"/>
    <w:rsid w:val="00315E8D"/>
    <w:rsid w:val="00316DC7"/>
    <w:rsid w:val="00320B17"/>
    <w:rsid w:val="00320B7E"/>
    <w:rsid w:val="00320F10"/>
    <w:rsid w:val="0032395C"/>
    <w:rsid w:val="003240DF"/>
    <w:rsid w:val="003245E8"/>
    <w:rsid w:val="00324869"/>
    <w:rsid w:val="00325681"/>
    <w:rsid w:val="00327863"/>
    <w:rsid w:val="003313F2"/>
    <w:rsid w:val="00331BE1"/>
    <w:rsid w:val="00334667"/>
    <w:rsid w:val="0033540C"/>
    <w:rsid w:val="00335804"/>
    <w:rsid w:val="00336232"/>
    <w:rsid w:val="003371CF"/>
    <w:rsid w:val="00337AD1"/>
    <w:rsid w:val="003406D8"/>
    <w:rsid w:val="00340CB7"/>
    <w:rsid w:val="00340DDB"/>
    <w:rsid w:val="00341260"/>
    <w:rsid w:val="003417F3"/>
    <w:rsid w:val="00342269"/>
    <w:rsid w:val="00342888"/>
    <w:rsid w:val="00346091"/>
    <w:rsid w:val="00346C00"/>
    <w:rsid w:val="00346E85"/>
    <w:rsid w:val="0035096D"/>
    <w:rsid w:val="00350F90"/>
    <w:rsid w:val="00351F57"/>
    <w:rsid w:val="00353920"/>
    <w:rsid w:val="0035607A"/>
    <w:rsid w:val="00356659"/>
    <w:rsid w:val="00357108"/>
    <w:rsid w:val="003576AD"/>
    <w:rsid w:val="003604DC"/>
    <w:rsid w:val="00361B24"/>
    <w:rsid w:val="00362E0E"/>
    <w:rsid w:val="00363179"/>
    <w:rsid w:val="0036319C"/>
    <w:rsid w:val="00363ADA"/>
    <w:rsid w:val="003661BF"/>
    <w:rsid w:val="00367AD3"/>
    <w:rsid w:val="00370C9A"/>
    <w:rsid w:val="00371306"/>
    <w:rsid w:val="00372EFC"/>
    <w:rsid w:val="003758D9"/>
    <w:rsid w:val="00375A5F"/>
    <w:rsid w:val="00376019"/>
    <w:rsid w:val="0037622B"/>
    <w:rsid w:val="00376A89"/>
    <w:rsid w:val="00376CCC"/>
    <w:rsid w:val="00377CB2"/>
    <w:rsid w:val="00380AEA"/>
    <w:rsid w:val="0038110B"/>
    <w:rsid w:val="00381542"/>
    <w:rsid w:val="00382047"/>
    <w:rsid w:val="00382989"/>
    <w:rsid w:val="00382C43"/>
    <w:rsid w:val="00382D9E"/>
    <w:rsid w:val="00382E46"/>
    <w:rsid w:val="00382F07"/>
    <w:rsid w:val="00384333"/>
    <w:rsid w:val="00385B1F"/>
    <w:rsid w:val="0038657D"/>
    <w:rsid w:val="003872AF"/>
    <w:rsid w:val="003905D4"/>
    <w:rsid w:val="00392062"/>
    <w:rsid w:val="00392994"/>
    <w:rsid w:val="00394602"/>
    <w:rsid w:val="00395FF2"/>
    <w:rsid w:val="00396BED"/>
    <w:rsid w:val="00396D4B"/>
    <w:rsid w:val="003970A2"/>
    <w:rsid w:val="003970C5"/>
    <w:rsid w:val="003973A8"/>
    <w:rsid w:val="00397BD5"/>
    <w:rsid w:val="003A1604"/>
    <w:rsid w:val="003A1BBD"/>
    <w:rsid w:val="003A353B"/>
    <w:rsid w:val="003A52D2"/>
    <w:rsid w:val="003A602D"/>
    <w:rsid w:val="003A6074"/>
    <w:rsid w:val="003A7EB8"/>
    <w:rsid w:val="003B034E"/>
    <w:rsid w:val="003B1181"/>
    <w:rsid w:val="003B1C91"/>
    <w:rsid w:val="003B5A18"/>
    <w:rsid w:val="003B764E"/>
    <w:rsid w:val="003C1CF7"/>
    <w:rsid w:val="003C3B60"/>
    <w:rsid w:val="003C3EBF"/>
    <w:rsid w:val="003C48E1"/>
    <w:rsid w:val="003C6C99"/>
    <w:rsid w:val="003D0855"/>
    <w:rsid w:val="003D1475"/>
    <w:rsid w:val="003D1994"/>
    <w:rsid w:val="003D2419"/>
    <w:rsid w:val="003D2605"/>
    <w:rsid w:val="003D2D4F"/>
    <w:rsid w:val="003D2ED1"/>
    <w:rsid w:val="003D5CB7"/>
    <w:rsid w:val="003D64B4"/>
    <w:rsid w:val="003D72F1"/>
    <w:rsid w:val="003D73D9"/>
    <w:rsid w:val="003D7634"/>
    <w:rsid w:val="003E1661"/>
    <w:rsid w:val="003E22FA"/>
    <w:rsid w:val="003E2E13"/>
    <w:rsid w:val="003E460F"/>
    <w:rsid w:val="003E467F"/>
    <w:rsid w:val="003E4E91"/>
    <w:rsid w:val="003E5C1C"/>
    <w:rsid w:val="003E635C"/>
    <w:rsid w:val="003E6D5E"/>
    <w:rsid w:val="003E76FC"/>
    <w:rsid w:val="003F05E4"/>
    <w:rsid w:val="003F0FA4"/>
    <w:rsid w:val="003F16E9"/>
    <w:rsid w:val="003F1DB5"/>
    <w:rsid w:val="003F241B"/>
    <w:rsid w:val="003F3226"/>
    <w:rsid w:val="003F39A8"/>
    <w:rsid w:val="003F5070"/>
    <w:rsid w:val="003F6164"/>
    <w:rsid w:val="003F65B5"/>
    <w:rsid w:val="003F768E"/>
    <w:rsid w:val="003F7FE8"/>
    <w:rsid w:val="00400A80"/>
    <w:rsid w:val="00402443"/>
    <w:rsid w:val="00403642"/>
    <w:rsid w:val="00403DF7"/>
    <w:rsid w:val="004049F8"/>
    <w:rsid w:val="00410139"/>
    <w:rsid w:val="00412CE0"/>
    <w:rsid w:val="00413688"/>
    <w:rsid w:val="00413CF5"/>
    <w:rsid w:val="004144EF"/>
    <w:rsid w:val="00415636"/>
    <w:rsid w:val="004178CE"/>
    <w:rsid w:val="00420583"/>
    <w:rsid w:val="004209CF"/>
    <w:rsid w:val="00422789"/>
    <w:rsid w:val="004232CC"/>
    <w:rsid w:val="00423764"/>
    <w:rsid w:val="00426817"/>
    <w:rsid w:val="0042712B"/>
    <w:rsid w:val="0043038A"/>
    <w:rsid w:val="00430CBC"/>
    <w:rsid w:val="00433680"/>
    <w:rsid w:val="00434BC5"/>
    <w:rsid w:val="0043705F"/>
    <w:rsid w:val="004376E6"/>
    <w:rsid w:val="004434CF"/>
    <w:rsid w:val="00443C5F"/>
    <w:rsid w:val="0044490C"/>
    <w:rsid w:val="0044509C"/>
    <w:rsid w:val="00447C24"/>
    <w:rsid w:val="00447DA2"/>
    <w:rsid w:val="00447F2D"/>
    <w:rsid w:val="00451283"/>
    <w:rsid w:val="00451D66"/>
    <w:rsid w:val="004546AF"/>
    <w:rsid w:val="00456492"/>
    <w:rsid w:val="004572C3"/>
    <w:rsid w:val="004572E7"/>
    <w:rsid w:val="00457782"/>
    <w:rsid w:val="0045797C"/>
    <w:rsid w:val="00464E8E"/>
    <w:rsid w:val="00465EC6"/>
    <w:rsid w:val="00466206"/>
    <w:rsid w:val="00466DDB"/>
    <w:rsid w:val="004674BA"/>
    <w:rsid w:val="004678B1"/>
    <w:rsid w:val="00470A10"/>
    <w:rsid w:val="00470FC3"/>
    <w:rsid w:val="0047462E"/>
    <w:rsid w:val="00476E3F"/>
    <w:rsid w:val="00477605"/>
    <w:rsid w:val="004778EE"/>
    <w:rsid w:val="00477C79"/>
    <w:rsid w:val="00477D3A"/>
    <w:rsid w:val="00482F0F"/>
    <w:rsid w:val="00485A63"/>
    <w:rsid w:val="00487A4A"/>
    <w:rsid w:val="00487C99"/>
    <w:rsid w:val="00492AF2"/>
    <w:rsid w:val="00493335"/>
    <w:rsid w:val="00495CED"/>
    <w:rsid w:val="0049649F"/>
    <w:rsid w:val="00496E90"/>
    <w:rsid w:val="004A0A16"/>
    <w:rsid w:val="004A165D"/>
    <w:rsid w:val="004A1BB7"/>
    <w:rsid w:val="004A1E58"/>
    <w:rsid w:val="004A3070"/>
    <w:rsid w:val="004A32B6"/>
    <w:rsid w:val="004A4E79"/>
    <w:rsid w:val="004A5132"/>
    <w:rsid w:val="004A72F5"/>
    <w:rsid w:val="004A7BF4"/>
    <w:rsid w:val="004B09A6"/>
    <w:rsid w:val="004B0DB3"/>
    <w:rsid w:val="004B105F"/>
    <w:rsid w:val="004B2568"/>
    <w:rsid w:val="004B2A71"/>
    <w:rsid w:val="004B4766"/>
    <w:rsid w:val="004B5B6A"/>
    <w:rsid w:val="004B7EAD"/>
    <w:rsid w:val="004C084C"/>
    <w:rsid w:val="004C0B6C"/>
    <w:rsid w:val="004C1B9E"/>
    <w:rsid w:val="004C502A"/>
    <w:rsid w:val="004C508A"/>
    <w:rsid w:val="004C6E6A"/>
    <w:rsid w:val="004D12FC"/>
    <w:rsid w:val="004D2B00"/>
    <w:rsid w:val="004D7B3D"/>
    <w:rsid w:val="004E39E7"/>
    <w:rsid w:val="004F2CEC"/>
    <w:rsid w:val="004F36C4"/>
    <w:rsid w:val="004F3CA8"/>
    <w:rsid w:val="004F4180"/>
    <w:rsid w:val="004F430D"/>
    <w:rsid w:val="004F5B1F"/>
    <w:rsid w:val="004F5B91"/>
    <w:rsid w:val="004F5F92"/>
    <w:rsid w:val="004F63B7"/>
    <w:rsid w:val="004F6994"/>
    <w:rsid w:val="00501717"/>
    <w:rsid w:val="00501AE0"/>
    <w:rsid w:val="005055F8"/>
    <w:rsid w:val="00505DAF"/>
    <w:rsid w:val="00507185"/>
    <w:rsid w:val="00507CE6"/>
    <w:rsid w:val="00510B22"/>
    <w:rsid w:val="00511B9A"/>
    <w:rsid w:val="0051207E"/>
    <w:rsid w:val="005125AE"/>
    <w:rsid w:val="00512632"/>
    <w:rsid w:val="00514C08"/>
    <w:rsid w:val="005154CA"/>
    <w:rsid w:val="005155E1"/>
    <w:rsid w:val="00515B16"/>
    <w:rsid w:val="005168C1"/>
    <w:rsid w:val="00520B9D"/>
    <w:rsid w:val="00521155"/>
    <w:rsid w:val="005221C9"/>
    <w:rsid w:val="00523866"/>
    <w:rsid w:val="00523A5C"/>
    <w:rsid w:val="0053003F"/>
    <w:rsid w:val="0053010C"/>
    <w:rsid w:val="005304E8"/>
    <w:rsid w:val="005315D3"/>
    <w:rsid w:val="00531E83"/>
    <w:rsid w:val="00532B63"/>
    <w:rsid w:val="00532E42"/>
    <w:rsid w:val="00534B2B"/>
    <w:rsid w:val="005356F2"/>
    <w:rsid w:val="00535CA2"/>
    <w:rsid w:val="00537CE1"/>
    <w:rsid w:val="00537FBD"/>
    <w:rsid w:val="005400AE"/>
    <w:rsid w:val="005427DB"/>
    <w:rsid w:val="00544D76"/>
    <w:rsid w:val="00544F42"/>
    <w:rsid w:val="005457A5"/>
    <w:rsid w:val="00546899"/>
    <w:rsid w:val="00546D91"/>
    <w:rsid w:val="00547038"/>
    <w:rsid w:val="005502F3"/>
    <w:rsid w:val="00554C58"/>
    <w:rsid w:val="00555BA2"/>
    <w:rsid w:val="00557054"/>
    <w:rsid w:val="00557496"/>
    <w:rsid w:val="00557ACB"/>
    <w:rsid w:val="005626CC"/>
    <w:rsid w:val="00565A09"/>
    <w:rsid w:val="00566105"/>
    <w:rsid w:val="005666D1"/>
    <w:rsid w:val="0057378F"/>
    <w:rsid w:val="00573DEF"/>
    <w:rsid w:val="00575767"/>
    <w:rsid w:val="005775CF"/>
    <w:rsid w:val="0057784D"/>
    <w:rsid w:val="00580836"/>
    <w:rsid w:val="00581256"/>
    <w:rsid w:val="00582F08"/>
    <w:rsid w:val="00585210"/>
    <w:rsid w:val="00585BD9"/>
    <w:rsid w:val="005867BE"/>
    <w:rsid w:val="005906BB"/>
    <w:rsid w:val="0059171C"/>
    <w:rsid w:val="00591806"/>
    <w:rsid w:val="00591AF1"/>
    <w:rsid w:val="00592597"/>
    <w:rsid w:val="00592987"/>
    <w:rsid w:val="00594FC4"/>
    <w:rsid w:val="00596A81"/>
    <w:rsid w:val="00597195"/>
    <w:rsid w:val="005A0454"/>
    <w:rsid w:val="005A0EBA"/>
    <w:rsid w:val="005A1B2C"/>
    <w:rsid w:val="005A375A"/>
    <w:rsid w:val="005A577B"/>
    <w:rsid w:val="005B01F5"/>
    <w:rsid w:val="005B2500"/>
    <w:rsid w:val="005B27EF"/>
    <w:rsid w:val="005B2B5E"/>
    <w:rsid w:val="005B316E"/>
    <w:rsid w:val="005B336B"/>
    <w:rsid w:val="005B7C2C"/>
    <w:rsid w:val="005B7D70"/>
    <w:rsid w:val="005C0C85"/>
    <w:rsid w:val="005C127C"/>
    <w:rsid w:val="005C167B"/>
    <w:rsid w:val="005C28D7"/>
    <w:rsid w:val="005C3B40"/>
    <w:rsid w:val="005C3FAD"/>
    <w:rsid w:val="005C3FF4"/>
    <w:rsid w:val="005C56DC"/>
    <w:rsid w:val="005C672D"/>
    <w:rsid w:val="005C6CF7"/>
    <w:rsid w:val="005D226F"/>
    <w:rsid w:val="005D4D88"/>
    <w:rsid w:val="005D5742"/>
    <w:rsid w:val="005D575D"/>
    <w:rsid w:val="005D60BB"/>
    <w:rsid w:val="005D7AE1"/>
    <w:rsid w:val="005E1192"/>
    <w:rsid w:val="005E1B33"/>
    <w:rsid w:val="005E2A7C"/>
    <w:rsid w:val="005E3F62"/>
    <w:rsid w:val="005E438C"/>
    <w:rsid w:val="005E54DB"/>
    <w:rsid w:val="005E5E92"/>
    <w:rsid w:val="005E611A"/>
    <w:rsid w:val="005E740B"/>
    <w:rsid w:val="005F1014"/>
    <w:rsid w:val="005F213B"/>
    <w:rsid w:val="005F5F77"/>
    <w:rsid w:val="005F66BF"/>
    <w:rsid w:val="005F7282"/>
    <w:rsid w:val="005F74D1"/>
    <w:rsid w:val="00600DF1"/>
    <w:rsid w:val="006018CD"/>
    <w:rsid w:val="006021EF"/>
    <w:rsid w:val="0061089C"/>
    <w:rsid w:val="00611A5A"/>
    <w:rsid w:val="00611FEE"/>
    <w:rsid w:val="006136A0"/>
    <w:rsid w:val="00614CA4"/>
    <w:rsid w:val="00614CEF"/>
    <w:rsid w:val="00616176"/>
    <w:rsid w:val="006167FA"/>
    <w:rsid w:val="006173E8"/>
    <w:rsid w:val="00617B6E"/>
    <w:rsid w:val="006209D0"/>
    <w:rsid w:val="00620C98"/>
    <w:rsid w:val="006216DD"/>
    <w:rsid w:val="006220E7"/>
    <w:rsid w:val="00622617"/>
    <w:rsid w:val="00622A22"/>
    <w:rsid w:val="006266FC"/>
    <w:rsid w:val="00630C87"/>
    <w:rsid w:val="006310D4"/>
    <w:rsid w:val="00631B32"/>
    <w:rsid w:val="00634098"/>
    <w:rsid w:val="00634863"/>
    <w:rsid w:val="00635795"/>
    <w:rsid w:val="00635E45"/>
    <w:rsid w:val="00635EE4"/>
    <w:rsid w:val="00636FD0"/>
    <w:rsid w:val="00640311"/>
    <w:rsid w:val="00640D06"/>
    <w:rsid w:val="006411D9"/>
    <w:rsid w:val="00641E69"/>
    <w:rsid w:val="006443FA"/>
    <w:rsid w:val="00645536"/>
    <w:rsid w:val="00646ACB"/>
    <w:rsid w:val="00651EC5"/>
    <w:rsid w:val="00654CF2"/>
    <w:rsid w:val="006563F1"/>
    <w:rsid w:val="00656D2D"/>
    <w:rsid w:val="00657DE1"/>
    <w:rsid w:val="006602DD"/>
    <w:rsid w:val="006605E8"/>
    <w:rsid w:val="00660843"/>
    <w:rsid w:val="006619E1"/>
    <w:rsid w:val="006620E1"/>
    <w:rsid w:val="0066250F"/>
    <w:rsid w:val="00662A67"/>
    <w:rsid w:val="0066325F"/>
    <w:rsid w:val="006633D6"/>
    <w:rsid w:val="00663D1E"/>
    <w:rsid w:val="0066466E"/>
    <w:rsid w:val="0066484E"/>
    <w:rsid w:val="00664FDD"/>
    <w:rsid w:val="006650CE"/>
    <w:rsid w:val="00665538"/>
    <w:rsid w:val="00671A08"/>
    <w:rsid w:val="006737E2"/>
    <w:rsid w:val="00673928"/>
    <w:rsid w:val="00673FDE"/>
    <w:rsid w:val="0067470F"/>
    <w:rsid w:val="00674BD8"/>
    <w:rsid w:val="006752D8"/>
    <w:rsid w:val="00676541"/>
    <w:rsid w:val="00677147"/>
    <w:rsid w:val="006775CD"/>
    <w:rsid w:val="006778BA"/>
    <w:rsid w:val="00680365"/>
    <w:rsid w:val="0068319B"/>
    <w:rsid w:val="006833C0"/>
    <w:rsid w:val="006857D1"/>
    <w:rsid w:val="006859D2"/>
    <w:rsid w:val="006866A4"/>
    <w:rsid w:val="00686761"/>
    <w:rsid w:val="006874A3"/>
    <w:rsid w:val="00690728"/>
    <w:rsid w:val="0069228F"/>
    <w:rsid w:val="006922C2"/>
    <w:rsid w:val="00692F9C"/>
    <w:rsid w:val="00693686"/>
    <w:rsid w:val="00693886"/>
    <w:rsid w:val="00693A31"/>
    <w:rsid w:val="00694795"/>
    <w:rsid w:val="00694A72"/>
    <w:rsid w:val="00694B96"/>
    <w:rsid w:val="00695012"/>
    <w:rsid w:val="00696D6B"/>
    <w:rsid w:val="006A01C0"/>
    <w:rsid w:val="006A0235"/>
    <w:rsid w:val="006A0F6C"/>
    <w:rsid w:val="006A20FA"/>
    <w:rsid w:val="006A3629"/>
    <w:rsid w:val="006A3A16"/>
    <w:rsid w:val="006A3BF3"/>
    <w:rsid w:val="006A41FE"/>
    <w:rsid w:val="006A68ED"/>
    <w:rsid w:val="006A78C0"/>
    <w:rsid w:val="006B07C6"/>
    <w:rsid w:val="006B1669"/>
    <w:rsid w:val="006B22F5"/>
    <w:rsid w:val="006B34A2"/>
    <w:rsid w:val="006B5316"/>
    <w:rsid w:val="006B5F20"/>
    <w:rsid w:val="006B75FE"/>
    <w:rsid w:val="006B7DE9"/>
    <w:rsid w:val="006C234D"/>
    <w:rsid w:val="006C2D5F"/>
    <w:rsid w:val="006C4A37"/>
    <w:rsid w:val="006C6230"/>
    <w:rsid w:val="006C66BA"/>
    <w:rsid w:val="006C692D"/>
    <w:rsid w:val="006C77D2"/>
    <w:rsid w:val="006C790E"/>
    <w:rsid w:val="006D0FDA"/>
    <w:rsid w:val="006D1E97"/>
    <w:rsid w:val="006D51C3"/>
    <w:rsid w:val="006E301F"/>
    <w:rsid w:val="006E3222"/>
    <w:rsid w:val="006E49C5"/>
    <w:rsid w:val="006E6164"/>
    <w:rsid w:val="006E6636"/>
    <w:rsid w:val="006E733B"/>
    <w:rsid w:val="006F1F9D"/>
    <w:rsid w:val="006F20F4"/>
    <w:rsid w:val="006F2714"/>
    <w:rsid w:val="006F29FC"/>
    <w:rsid w:val="006F47A4"/>
    <w:rsid w:val="006F5974"/>
    <w:rsid w:val="006F6520"/>
    <w:rsid w:val="006F71FC"/>
    <w:rsid w:val="007010EA"/>
    <w:rsid w:val="0070250E"/>
    <w:rsid w:val="00703F51"/>
    <w:rsid w:val="007043BC"/>
    <w:rsid w:val="0070577E"/>
    <w:rsid w:val="00705DCE"/>
    <w:rsid w:val="0070644E"/>
    <w:rsid w:val="0070793B"/>
    <w:rsid w:val="00707D5F"/>
    <w:rsid w:val="007136AD"/>
    <w:rsid w:val="00714456"/>
    <w:rsid w:val="00715D76"/>
    <w:rsid w:val="00716ECC"/>
    <w:rsid w:val="00717A25"/>
    <w:rsid w:val="00717DB0"/>
    <w:rsid w:val="0072031C"/>
    <w:rsid w:val="007204A3"/>
    <w:rsid w:val="0072125C"/>
    <w:rsid w:val="00721B17"/>
    <w:rsid w:val="00722B15"/>
    <w:rsid w:val="00722B4B"/>
    <w:rsid w:val="00724080"/>
    <w:rsid w:val="007247EB"/>
    <w:rsid w:val="007259DB"/>
    <w:rsid w:val="00725B0E"/>
    <w:rsid w:val="00727D2E"/>
    <w:rsid w:val="0073147F"/>
    <w:rsid w:val="007316E1"/>
    <w:rsid w:val="00731F44"/>
    <w:rsid w:val="00732684"/>
    <w:rsid w:val="00734870"/>
    <w:rsid w:val="007356CC"/>
    <w:rsid w:val="007356E8"/>
    <w:rsid w:val="007358F3"/>
    <w:rsid w:val="00736967"/>
    <w:rsid w:val="0073723D"/>
    <w:rsid w:val="00737892"/>
    <w:rsid w:val="007408BD"/>
    <w:rsid w:val="00743FDF"/>
    <w:rsid w:val="007455EC"/>
    <w:rsid w:val="007509ED"/>
    <w:rsid w:val="00750CAD"/>
    <w:rsid w:val="007518A6"/>
    <w:rsid w:val="0075247A"/>
    <w:rsid w:val="00752E6D"/>
    <w:rsid w:val="00753755"/>
    <w:rsid w:val="007551C1"/>
    <w:rsid w:val="0075689D"/>
    <w:rsid w:val="00757309"/>
    <w:rsid w:val="00761993"/>
    <w:rsid w:val="00763AB7"/>
    <w:rsid w:val="00765B18"/>
    <w:rsid w:val="0076620D"/>
    <w:rsid w:val="0076720D"/>
    <w:rsid w:val="00767AB8"/>
    <w:rsid w:val="00770A9A"/>
    <w:rsid w:val="00770AAE"/>
    <w:rsid w:val="0077172F"/>
    <w:rsid w:val="00773146"/>
    <w:rsid w:val="007744E7"/>
    <w:rsid w:val="00774877"/>
    <w:rsid w:val="007756CD"/>
    <w:rsid w:val="0077709D"/>
    <w:rsid w:val="00777FDB"/>
    <w:rsid w:val="007842C6"/>
    <w:rsid w:val="00784464"/>
    <w:rsid w:val="007857BF"/>
    <w:rsid w:val="00786100"/>
    <w:rsid w:val="00787C22"/>
    <w:rsid w:val="00791C56"/>
    <w:rsid w:val="00795074"/>
    <w:rsid w:val="0079536C"/>
    <w:rsid w:val="007968B8"/>
    <w:rsid w:val="007A1911"/>
    <w:rsid w:val="007A404C"/>
    <w:rsid w:val="007A45B4"/>
    <w:rsid w:val="007A45B7"/>
    <w:rsid w:val="007A4CB4"/>
    <w:rsid w:val="007A6075"/>
    <w:rsid w:val="007A6C2E"/>
    <w:rsid w:val="007B0429"/>
    <w:rsid w:val="007B0C21"/>
    <w:rsid w:val="007B6321"/>
    <w:rsid w:val="007B6C75"/>
    <w:rsid w:val="007B705E"/>
    <w:rsid w:val="007B73B6"/>
    <w:rsid w:val="007B7C29"/>
    <w:rsid w:val="007C10C5"/>
    <w:rsid w:val="007C4F92"/>
    <w:rsid w:val="007C5BF4"/>
    <w:rsid w:val="007C5C7C"/>
    <w:rsid w:val="007C70C5"/>
    <w:rsid w:val="007C7B33"/>
    <w:rsid w:val="007D171E"/>
    <w:rsid w:val="007D2A13"/>
    <w:rsid w:val="007D2BDB"/>
    <w:rsid w:val="007D5668"/>
    <w:rsid w:val="007D5F77"/>
    <w:rsid w:val="007D6E0D"/>
    <w:rsid w:val="007D71AF"/>
    <w:rsid w:val="007E073E"/>
    <w:rsid w:val="007E254B"/>
    <w:rsid w:val="007E278D"/>
    <w:rsid w:val="007E2D2E"/>
    <w:rsid w:val="007E319E"/>
    <w:rsid w:val="007E39F8"/>
    <w:rsid w:val="007E5214"/>
    <w:rsid w:val="007E6A63"/>
    <w:rsid w:val="007E720C"/>
    <w:rsid w:val="007E73E8"/>
    <w:rsid w:val="007E740F"/>
    <w:rsid w:val="007E7CEA"/>
    <w:rsid w:val="007E7D34"/>
    <w:rsid w:val="007F0103"/>
    <w:rsid w:val="007F18DA"/>
    <w:rsid w:val="007F39DC"/>
    <w:rsid w:val="007F3B49"/>
    <w:rsid w:val="007F4954"/>
    <w:rsid w:val="007F4F9A"/>
    <w:rsid w:val="00800DD7"/>
    <w:rsid w:val="00801817"/>
    <w:rsid w:val="00803321"/>
    <w:rsid w:val="00803997"/>
    <w:rsid w:val="00804B67"/>
    <w:rsid w:val="008059E7"/>
    <w:rsid w:val="00805CB3"/>
    <w:rsid w:val="00806889"/>
    <w:rsid w:val="00807AC2"/>
    <w:rsid w:val="00810C3F"/>
    <w:rsid w:val="008113C1"/>
    <w:rsid w:val="00812101"/>
    <w:rsid w:val="00812620"/>
    <w:rsid w:val="00813650"/>
    <w:rsid w:val="00815538"/>
    <w:rsid w:val="00815AAD"/>
    <w:rsid w:val="00816C69"/>
    <w:rsid w:val="00820AA4"/>
    <w:rsid w:val="00821038"/>
    <w:rsid w:val="00821677"/>
    <w:rsid w:val="008226B1"/>
    <w:rsid w:val="00822871"/>
    <w:rsid w:val="00822FF0"/>
    <w:rsid w:val="00823B13"/>
    <w:rsid w:val="00825344"/>
    <w:rsid w:val="00825781"/>
    <w:rsid w:val="008261ED"/>
    <w:rsid w:val="00826889"/>
    <w:rsid w:val="008302AE"/>
    <w:rsid w:val="00831386"/>
    <w:rsid w:val="008330E9"/>
    <w:rsid w:val="00833192"/>
    <w:rsid w:val="008351E4"/>
    <w:rsid w:val="00835702"/>
    <w:rsid w:val="0083629D"/>
    <w:rsid w:val="00840B7B"/>
    <w:rsid w:val="008423B3"/>
    <w:rsid w:val="00842908"/>
    <w:rsid w:val="00845453"/>
    <w:rsid w:val="00845708"/>
    <w:rsid w:val="00845CC2"/>
    <w:rsid w:val="00846BA0"/>
    <w:rsid w:val="0085021C"/>
    <w:rsid w:val="00851863"/>
    <w:rsid w:val="00851B68"/>
    <w:rsid w:val="0085370F"/>
    <w:rsid w:val="00853D6E"/>
    <w:rsid w:val="008550D9"/>
    <w:rsid w:val="00856387"/>
    <w:rsid w:val="00856D8D"/>
    <w:rsid w:val="00857DD4"/>
    <w:rsid w:val="00860F4D"/>
    <w:rsid w:val="008620B2"/>
    <w:rsid w:val="008634B7"/>
    <w:rsid w:val="00863766"/>
    <w:rsid w:val="00865B55"/>
    <w:rsid w:val="0086671E"/>
    <w:rsid w:val="00866BF5"/>
    <w:rsid w:val="00870ACC"/>
    <w:rsid w:val="00873DA0"/>
    <w:rsid w:val="00873F75"/>
    <w:rsid w:val="00874D27"/>
    <w:rsid w:val="0087558F"/>
    <w:rsid w:val="00876405"/>
    <w:rsid w:val="00876D63"/>
    <w:rsid w:val="00877777"/>
    <w:rsid w:val="00883274"/>
    <w:rsid w:val="008835F8"/>
    <w:rsid w:val="00884304"/>
    <w:rsid w:val="0088507B"/>
    <w:rsid w:val="0088579A"/>
    <w:rsid w:val="00886E6F"/>
    <w:rsid w:val="0088772C"/>
    <w:rsid w:val="0089120A"/>
    <w:rsid w:val="00891D04"/>
    <w:rsid w:val="00891D13"/>
    <w:rsid w:val="00893E0F"/>
    <w:rsid w:val="00893E9A"/>
    <w:rsid w:val="008948E0"/>
    <w:rsid w:val="008949C9"/>
    <w:rsid w:val="00895C03"/>
    <w:rsid w:val="0089735F"/>
    <w:rsid w:val="008977BC"/>
    <w:rsid w:val="008A03B7"/>
    <w:rsid w:val="008A0B04"/>
    <w:rsid w:val="008A0CF5"/>
    <w:rsid w:val="008A3017"/>
    <w:rsid w:val="008A30EE"/>
    <w:rsid w:val="008A3B89"/>
    <w:rsid w:val="008A52D9"/>
    <w:rsid w:val="008A61AB"/>
    <w:rsid w:val="008A620C"/>
    <w:rsid w:val="008A726E"/>
    <w:rsid w:val="008A7681"/>
    <w:rsid w:val="008B0C19"/>
    <w:rsid w:val="008B1379"/>
    <w:rsid w:val="008B13D1"/>
    <w:rsid w:val="008B18E7"/>
    <w:rsid w:val="008B28E1"/>
    <w:rsid w:val="008B3999"/>
    <w:rsid w:val="008B5CD6"/>
    <w:rsid w:val="008B695D"/>
    <w:rsid w:val="008C16A5"/>
    <w:rsid w:val="008C25AC"/>
    <w:rsid w:val="008C3D56"/>
    <w:rsid w:val="008C6B63"/>
    <w:rsid w:val="008C772B"/>
    <w:rsid w:val="008D0A3E"/>
    <w:rsid w:val="008D1D96"/>
    <w:rsid w:val="008D23A9"/>
    <w:rsid w:val="008D2A0E"/>
    <w:rsid w:val="008D494F"/>
    <w:rsid w:val="008D4CD3"/>
    <w:rsid w:val="008D5A1E"/>
    <w:rsid w:val="008D74B2"/>
    <w:rsid w:val="008D795B"/>
    <w:rsid w:val="008E1FC4"/>
    <w:rsid w:val="008E27AD"/>
    <w:rsid w:val="008E3058"/>
    <w:rsid w:val="008E3D8A"/>
    <w:rsid w:val="008E3D9D"/>
    <w:rsid w:val="008E55B9"/>
    <w:rsid w:val="008E6A94"/>
    <w:rsid w:val="008E7772"/>
    <w:rsid w:val="008E7F52"/>
    <w:rsid w:val="008F398A"/>
    <w:rsid w:val="008F3C11"/>
    <w:rsid w:val="008F4098"/>
    <w:rsid w:val="008F6FE0"/>
    <w:rsid w:val="00900B06"/>
    <w:rsid w:val="009037CD"/>
    <w:rsid w:val="00910B8C"/>
    <w:rsid w:val="00910E36"/>
    <w:rsid w:val="00912236"/>
    <w:rsid w:val="00915632"/>
    <w:rsid w:val="00915745"/>
    <w:rsid w:val="009209EE"/>
    <w:rsid w:val="00921261"/>
    <w:rsid w:val="009212FE"/>
    <w:rsid w:val="00923C7E"/>
    <w:rsid w:val="009253C9"/>
    <w:rsid w:val="00927705"/>
    <w:rsid w:val="00931B2F"/>
    <w:rsid w:val="00931BBB"/>
    <w:rsid w:val="00931E36"/>
    <w:rsid w:val="009323F7"/>
    <w:rsid w:val="00932759"/>
    <w:rsid w:val="00933A53"/>
    <w:rsid w:val="00935BE6"/>
    <w:rsid w:val="0093676C"/>
    <w:rsid w:val="009369CB"/>
    <w:rsid w:val="00936FFA"/>
    <w:rsid w:val="0093738F"/>
    <w:rsid w:val="00937BF2"/>
    <w:rsid w:val="00940884"/>
    <w:rsid w:val="00942C25"/>
    <w:rsid w:val="0094585B"/>
    <w:rsid w:val="00945B11"/>
    <w:rsid w:val="00945E62"/>
    <w:rsid w:val="009460F4"/>
    <w:rsid w:val="009463A1"/>
    <w:rsid w:val="009471D4"/>
    <w:rsid w:val="0094740D"/>
    <w:rsid w:val="00951246"/>
    <w:rsid w:val="00952A1E"/>
    <w:rsid w:val="00953D5F"/>
    <w:rsid w:val="00953DB2"/>
    <w:rsid w:val="009547D7"/>
    <w:rsid w:val="0095498B"/>
    <w:rsid w:val="009552E2"/>
    <w:rsid w:val="0095598B"/>
    <w:rsid w:val="00955DEE"/>
    <w:rsid w:val="00955E34"/>
    <w:rsid w:val="00955EF7"/>
    <w:rsid w:val="00961BD5"/>
    <w:rsid w:val="009627CD"/>
    <w:rsid w:val="00963791"/>
    <w:rsid w:val="00964179"/>
    <w:rsid w:val="0096467E"/>
    <w:rsid w:val="00965098"/>
    <w:rsid w:val="0096630A"/>
    <w:rsid w:val="00971081"/>
    <w:rsid w:val="00971AD6"/>
    <w:rsid w:val="00972B46"/>
    <w:rsid w:val="00974AC6"/>
    <w:rsid w:val="00975B86"/>
    <w:rsid w:val="00975F85"/>
    <w:rsid w:val="009771CF"/>
    <w:rsid w:val="0097734F"/>
    <w:rsid w:val="00977E26"/>
    <w:rsid w:val="0098148C"/>
    <w:rsid w:val="00984055"/>
    <w:rsid w:val="00987677"/>
    <w:rsid w:val="0099172E"/>
    <w:rsid w:val="00991B5C"/>
    <w:rsid w:val="0099303A"/>
    <w:rsid w:val="0099327F"/>
    <w:rsid w:val="00993708"/>
    <w:rsid w:val="00994406"/>
    <w:rsid w:val="00996ABF"/>
    <w:rsid w:val="0099713C"/>
    <w:rsid w:val="009971A1"/>
    <w:rsid w:val="009A1D8F"/>
    <w:rsid w:val="009A60A5"/>
    <w:rsid w:val="009A78B0"/>
    <w:rsid w:val="009B1348"/>
    <w:rsid w:val="009B1C4E"/>
    <w:rsid w:val="009B3A0D"/>
    <w:rsid w:val="009B4707"/>
    <w:rsid w:val="009B57C2"/>
    <w:rsid w:val="009B61BA"/>
    <w:rsid w:val="009B6E0C"/>
    <w:rsid w:val="009B75CE"/>
    <w:rsid w:val="009B75D7"/>
    <w:rsid w:val="009C0031"/>
    <w:rsid w:val="009C1A53"/>
    <w:rsid w:val="009C298D"/>
    <w:rsid w:val="009C30FA"/>
    <w:rsid w:val="009C318F"/>
    <w:rsid w:val="009C4AD6"/>
    <w:rsid w:val="009C6948"/>
    <w:rsid w:val="009C7E5B"/>
    <w:rsid w:val="009D01D2"/>
    <w:rsid w:val="009D039D"/>
    <w:rsid w:val="009D1FD4"/>
    <w:rsid w:val="009D4E08"/>
    <w:rsid w:val="009D5D4C"/>
    <w:rsid w:val="009D60B7"/>
    <w:rsid w:val="009D78AB"/>
    <w:rsid w:val="009E4EDD"/>
    <w:rsid w:val="009F0B29"/>
    <w:rsid w:val="009F0D1E"/>
    <w:rsid w:val="009F14A0"/>
    <w:rsid w:val="009F6654"/>
    <w:rsid w:val="00A002BB"/>
    <w:rsid w:val="00A00A94"/>
    <w:rsid w:val="00A00C9E"/>
    <w:rsid w:val="00A0133D"/>
    <w:rsid w:val="00A01721"/>
    <w:rsid w:val="00A029E3"/>
    <w:rsid w:val="00A02EAA"/>
    <w:rsid w:val="00A04227"/>
    <w:rsid w:val="00A04361"/>
    <w:rsid w:val="00A0482B"/>
    <w:rsid w:val="00A04CD3"/>
    <w:rsid w:val="00A05300"/>
    <w:rsid w:val="00A05385"/>
    <w:rsid w:val="00A05796"/>
    <w:rsid w:val="00A06DEF"/>
    <w:rsid w:val="00A06FCC"/>
    <w:rsid w:val="00A11338"/>
    <w:rsid w:val="00A1239A"/>
    <w:rsid w:val="00A12D0D"/>
    <w:rsid w:val="00A1356E"/>
    <w:rsid w:val="00A14DC2"/>
    <w:rsid w:val="00A14ED5"/>
    <w:rsid w:val="00A1502B"/>
    <w:rsid w:val="00A151AA"/>
    <w:rsid w:val="00A15E4E"/>
    <w:rsid w:val="00A17BB1"/>
    <w:rsid w:val="00A214F2"/>
    <w:rsid w:val="00A216DB"/>
    <w:rsid w:val="00A21A7E"/>
    <w:rsid w:val="00A21AAE"/>
    <w:rsid w:val="00A21B20"/>
    <w:rsid w:val="00A224D1"/>
    <w:rsid w:val="00A23137"/>
    <w:rsid w:val="00A250A9"/>
    <w:rsid w:val="00A25D12"/>
    <w:rsid w:val="00A300DF"/>
    <w:rsid w:val="00A32C36"/>
    <w:rsid w:val="00A3338F"/>
    <w:rsid w:val="00A34066"/>
    <w:rsid w:val="00A353F9"/>
    <w:rsid w:val="00A35671"/>
    <w:rsid w:val="00A35FAB"/>
    <w:rsid w:val="00A3663B"/>
    <w:rsid w:val="00A41586"/>
    <w:rsid w:val="00A41817"/>
    <w:rsid w:val="00A427C7"/>
    <w:rsid w:val="00A44C80"/>
    <w:rsid w:val="00A45C56"/>
    <w:rsid w:val="00A470DF"/>
    <w:rsid w:val="00A477CB"/>
    <w:rsid w:val="00A51A2D"/>
    <w:rsid w:val="00A51E94"/>
    <w:rsid w:val="00A52B00"/>
    <w:rsid w:val="00A536A5"/>
    <w:rsid w:val="00A571D5"/>
    <w:rsid w:val="00A57C92"/>
    <w:rsid w:val="00A60C22"/>
    <w:rsid w:val="00A61440"/>
    <w:rsid w:val="00A6263D"/>
    <w:rsid w:val="00A643AE"/>
    <w:rsid w:val="00A6543E"/>
    <w:rsid w:val="00A65C0F"/>
    <w:rsid w:val="00A67C96"/>
    <w:rsid w:val="00A70F54"/>
    <w:rsid w:val="00A728AD"/>
    <w:rsid w:val="00A738B3"/>
    <w:rsid w:val="00A74077"/>
    <w:rsid w:val="00A75045"/>
    <w:rsid w:val="00A751E0"/>
    <w:rsid w:val="00A76577"/>
    <w:rsid w:val="00A76B59"/>
    <w:rsid w:val="00A77BBA"/>
    <w:rsid w:val="00A77D46"/>
    <w:rsid w:val="00A77DD5"/>
    <w:rsid w:val="00A80722"/>
    <w:rsid w:val="00A8280E"/>
    <w:rsid w:val="00A83C32"/>
    <w:rsid w:val="00A86A6B"/>
    <w:rsid w:val="00A86C16"/>
    <w:rsid w:val="00A8724C"/>
    <w:rsid w:val="00A9025E"/>
    <w:rsid w:val="00A9134F"/>
    <w:rsid w:val="00A9195A"/>
    <w:rsid w:val="00A91975"/>
    <w:rsid w:val="00A91CF5"/>
    <w:rsid w:val="00A922F5"/>
    <w:rsid w:val="00A9412E"/>
    <w:rsid w:val="00A961EC"/>
    <w:rsid w:val="00A96FAC"/>
    <w:rsid w:val="00A97E33"/>
    <w:rsid w:val="00AA04D0"/>
    <w:rsid w:val="00AA0607"/>
    <w:rsid w:val="00AA2F07"/>
    <w:rsid w:val="00AA3203"/>
    <w:rsid w:val="00AA442C"/>
    <w:rsid w:val="00AA444E"/>
    <w:rsid w:val="00AA637B"/>
    <w:rsid w:val="00AA7A69"/>
    <w:rsid w:val="00AB0471"/>
    <w:rsid w:val="00AB1F55"/>
    <w:rsid w:val="00AB4362"/>
    <w:rsid w:val="00AB4A27"/>
    <w:rsid w:val="00AB59CA"/>
    <w:rsid w:val="00AC09A6"/>
    <w:rsid w:val="00AC0C2B"/>
    <w:rsid w:val="00AC152D"/>
    <w:rsid w:val="00AC156D"/>
    <w:rsid w:val="00AC1CBE"/>
    <w:rsid w:val="00AC3152"/>
    <w:rsid w:val="00AC3D4A"/>
    <w:rsid w:val="00AC57D8"/>
    <w:rsid w:val="00AC691E"/>
    <w:rsid w:val="00AC74F2"/>
    <w:rsid w:val="00AD0769"/>
    <w:rsid w:val="00AD2598"/>
    <w:rsid w:val="00AD3EFD"/>
    <w:rsid w:val="00AD4097"/>
    <w:rsid w:val="00AD4574"/>
    <w:rsid w:val="00AD5824"/>
    <w:rsid w:val="00AD667A"/>
    <w:rsid w:val="00AD66D9"/>
    <w:rsid w:val="00AD73C0"/>
    <w:rsid w:val="00AE02B2"/>
    <w:rsid w:val="00AE15A3"/>
    <w:rsid w:val="00AE2151"/>
    <w:rsid w:val="00AE2987"/>
    <w:rsid w:val="00AE464A"/>
    <w:rsid w:val="00AE6206"/>
    <w:rsid w:val="00AE7CD5"/>
    <w:rsid w:val="00AF0397"/>
    <w:rsid w:val="00AF3334"/>
    <w:rsid w:val="00AF4109"/>
    <w:rsid w:val="00AF4464"/>
    <w:rsid w:val="00AF5AF6"/>
    <w:rsid w:val="00AF5D86"/>
    <w:rsid w:val="00B005B7"/>
    <w:rsid w:val="00B00D85"/>
    <w:rsid w:val="00B016F5"/>
    <w:rsid w:val="00B0221F"/>
    <w:rsid w:val="00B02895"/>
    <w:rsid w:val="00B0307F"/>
    <w:rsid w:val="00B039B0"/>
    <w:rsid w:val="00B046A1"/>
    <w:rsid w:val="00B05CAC"/>
    <w:rsid w:val="00B069BF"/>
    <w:rsid w:val="00B07CCB"/>
    <w:rsid w:val="00B10EA6"/>
    <w:rsid w:val="00B11BED"/>
    <w:rsid w:val="00B14311"/>
    <w:rsid w:val="00B1494D"/>
    <w:rsid w:val="00B14E29"/>
    <w:rsid w:val="00B15411"/>
    <w:rsid w:val="00B163B4"/>
    <w:rsid w:val="00B16D55"/>
    <w:rsid w:val="00B20393"/>
    <w:rsid w:val="00B20421"/>
    <w:rsid w:val="00B20BE2"/>
    <w:rsid w:val="00B23EBC"/>
    <w:rsid w:val="00B2592D"/>
    <w:rsid w:val="00B274BF"/>
    <w:rsid w:val="00B27EFC"/>
    <w:rsid w:val="00B32626"/>
    <w:rsid w:val="00B33C70"/>
    <w:rsid w:val="00B340D9"/>
    <w:rsid w:val="00B349B6"/>
    <w:rsid w:val="00B34A40"/>
    <w:rsid w:val="00B34AE3"/>
    <w:rsid w:val="00B358E9"/>
    <w:rsid w:val="00B35911"/>
    <w:rsid w:val="00B369B1"/>
    <w:rsid w:val="00B37770"/>
    <w:rsid w:val="00B40B7E"/>
    <w:rsid w:val="00B4166A"/>
    <w:rsid w:val="00B419BA"/>
    <w:rsid w:val="00B43B9D"/>
    <w:rsid w:val="00B44606"/>
    <w:rsid w:val="00B469D0"/>
    <w:rsid w:val="00B47324"/>
    <w:rsid w:val="00B50530"/>
    <w:rsid w:val="00B50B24"/>
    <w:rsid w:val="00B50F09"/>
    <w:rsid w:val="00B52982"/>
    <w:rsid w:val="00B53559"/>
    <w:rsid w:val="00B54EA0"/>
    <w:rsid w:val="00B55923"/>
    <w:rsid w:val="00B600E1"/>
    <w:rsid w:val="00B6091D"/>
    <w:rsid w:val="00B62C0E"/>
    <w:rsid w:val="00B634CC"/>
    <w:rsid w:val="00B6589C"/>
    <w:rsid w:val="00B7053E"/>
    <w:rsid w:val="00B70A69"/>
    <w:rsid w:val="00B710A4"/>
    <w:rsid w:val="00B71CCA"/>
    <w:rsid w:val="00B71DCB"/>
    <w:rsid w:val="00B7224E"/>
    <w:rsid w:val="00B7261F"/>
    <w:rsid w:val="00B748CD"/>
    <w:rsid w:val="00B74BD9"/>
    <w:rsid w:val="00B7503B"/>
    <w:rsid w:val="00B753C2"/>
    <w:rsid w:val="00B764DE"/>
    <w:rsid w:val="00B80664"/>
    <w:rsid w:val="00B8134F"/>
    <w:rsid w:val="00B81A3D"/>
    <w:rsid w:val="00B822EA"/>
    <w:rsid w:val="00B82E66"/>
    <w:rsid w:val="00B83F66"/>
    <w:rsid w:val="00B84650"/>
    <w:rsid w:val="00B86316"/>
    <w:rsid w:val="00B866BC"/>
    <w:rsid w:val="00B871CE"/>
    <w:rsid w:val="00B8729F"/>
    <w:rsid w:val="00B9199A"/>
    <w:rsid w:val="00B92953"/>
    <w:rsid w:val="00B94071"/>
    <w:rsid w:val="00B958F3"/>
    <w:rsid w:val="00B95AA5"/>
    <w:rsid w:val="00B965B3"/>
    <w:rsid w:val="00B97795"/>
    <w:rsid w:val="00BA05D6"/>
    <w:rsid w:val="00BA086E"/>
    <w:rsid w:val="00BA3AC9"/>
    <w:rsid w:val="00BA4E29"/>
    <w:rsid w:val="00BA5304"/>
    <w:rsid w:val="00BA6F77"/>
    <w:rsid w:val="00BB1738"/>
    <w:rsid w:val="00BB1E24"/>
    <w:rsid w:val="00BB2FDB"/>
    <w:rsid w:val="00BB325C"/>
    <w:rsid w:val="00BB35DE"/>
    <w:rsid w:val="00BB39C6"/>
    <w:rsid w:val="00BB3F71"/>
    <w:rsid w:val="00BB50B4"/>
    <w:rsid w:val="00BB54CF"/>
    <w:rsid w:val="00BB6133"/>
    <w:rsid w:val="00BC0AC8"/>
    <w:rsid w:val="00BC2460"/>
    <w:rsid w:val="00BC3C0C"/>
    <w:rsid w:val="00BC525E"/>
    <w:rsid w:val="00BD2B1F"/>
    <w:rsid w:val="00BD2C91"/>
    <w:rsid w:val="00BD2EFD"/>
    <w:rsid w:val="00BD31F2"/>
    <w:rsid w:val="00BD463F"/>
    <w:rsid w:val="00BD6124"/>
    <w:rsid w:val="00BE1072"/>
    <w:rsid w:val="00BE14E7"/>
    <w:rsid w:val="00BE24DA"/>
    <w:rsid w:val="00BE2D0F"/>
    <w:rsid w:val="00BE30B1"/>
    <w:rsid w:val="00BE370B"/>
    <w:rsid w:val="00BE426B"/>
    <w:rsid w:val="00BE5EF3"/>
    <w:rsid w:val="00BE6681"/>
    <w:rsid w:val="00BE72D8"/>
    <w:rsid w:val="00BF096A"/>
    <w:rsid w:val="00BF0E65"/>
    <w:rsid w:val="00BF1B23"/>
    <w:rsid w:val="00BF2573"/>
    <w:rsid w:val="00BF2CAE"/>
    <w:rsid w:val="00BF3C70"/>
    <w:rsid w:val="00BF4581"/>
    <w:rsid w:val="00BF4EE3"/>
    <w:rsid w:val="00BF6A75"/>
    <w:rsid w:val="00BF7757"/>
    <w:rsid w:val="00BF7925"/>
    <w:rsid w:val="00C01D3F"/>
    <w:rsid w:val="00C042E0"/>
    <w:rsid w:val="00C04E4F"/>
    <w:rsid w:val="00C05A0D"/>
    <w:rsid w:val="00C064A1"/>
    <w:rsid w:val="00C06E93"/>
    <w:rsid w:val="00C0755F"/>
    <w:rsid w:val="00C10B87"/>
    <w:rsid w:val="00C11375"/>
    <w:rsid w:val="00C12FDB"/>
    <w:rsid w:val="00C136AC"/>
    <w:rsid w:val="00C14040"/>
    <w:rsid w:val="00C167C9"/>
    <w:rsid w:val="00C175C9"/>
    <w:rsid w:val="00C17B7D"/>
    <w:rsid w:val="00C20142"/>
    <w:rsid w:val="00C213A2"/>
    <w:rsid w:val="00C21886"/>
    <w:rsid w:val="00C22867"/>
    <w:rsid w:val="00C233A4"/>
    <w:rsid w:val="00C241B6"/>
    <w:rsid w:val="00C2431D"/>
    <w:rsid w:val="00C24649"/>
    <w:rsid w:val="00C2660B"/>
    <w:rsid w:val="00C27EC0"/>
    <w:rsid w:val="00C27F6D"/>
    <w:rsid w:val="00C32D9C"/>
    <w:rsid w:val="00C32E3C"/>
    <w:rsid w:val="00C33812"/>
    <w:rsid w:val="00C33E10"/>
    <w:rsid w:val="00C347DD"/>
    <w:rsid w:val="00C351D0"/>
    <w:rsid w:val="00C355AA"/>
    <w:rsid w:val="00C3746E"/>
    <w:rsid w:val="00C37C43"/>
    <w:rsid w:val="00C41D98"/>
    <w:rsid w:val="00C42201"/>
    <w:rsid w:val="00C42993"/>
    <w:rsid w:val="00C43E35"/>
    <w:rsid w:val="00C44CA2"/>
    <w:rsid w:val="00C45CCC"/>
    <w:rsid w:val="00C465A8"/>
    <w:rsid w:val="00C52BBD"/>
    <w:rsid w:val="00C52F7C"/>
    <w:rsid w:val="00C535BD"/>
    <w:rsid w:val="00C53EDD"/>
    <w:rsid w:val="00C54226"/>
    <w:rsid w:val="00C564A6"/>
    <w:rsid w:val="00C567C9"/>
    <w:rsid w:val="00C6005F"/>
    <w:rsid w:val="00C60403"/>
    <w:rsid w:val="00C60FED"/>
    <w:rsid w:val="00C61C49"/>
    <w:rsid w:val="00C61DEA"/>
    <w:rsid w:val="00C63FA8"/>
    <w:rsid w:val="00C64E39"/>
    <w:rsid w:val="00C65876"/>
    <w:rsid w:val="00C702CB"/>
    <w:rsid w:val="00C7098C"/>
    <w:rsid w:val="00C709A4"/>
    <w:rsid w:val="00C71AF7"/>
    <w:rsid w:val="00C7204C"/>
    <w:rsid w:val="00C72888"/>
    <w:rsid w:val="00C72A93"/>
    <w:rsid w:val="00C72F8F"/>
    <w:rsid w:val="00C74590"/>
    <w:rsid w:val="00C75954"/>
    <w:rsid w:val="00C801EC"/>
    <w:rsid w:val="00C82B9E"/>
    <w:rsid w:val="00C84CA9"/>
    <w:rsid w:val="00C85DFB"/>
    <w:rsid w:val="00C87212"/>
    <w:rsid w:val="00C87A4D"/>
    <w:rsid w:val="00C90266"/>
    <w:rsid w:val="00C95741"/>
    <w:rsid w:val="00C97E9B"/>
    <w:rsid w:val="00CA02BD"/>
    <w:rsid w:val="00CA0A49"/>
    <w:rsid w:val="00CA2D9F"/>
    <w:rsid w:val="00CA3119"/>
    <w:rsid w:val="00CA3B5E"/>
    <w:rsid w:val="00CA3D68"/>
    <w:rsid w:val="00CA4C95"/>
    <w:rsid w:val="00CA6E99"/>
    <w:rsid w:val="00CA7045"/>
    <w:rsid w:val="00CB3342"/>
    <w:rsid w:val="00CB41D2"/>
    <w:rsid w:val="00CB6BF7"/>
    <w:rsid w:val="00CB6CB7"/>
    <w:rsid w:val="00CB7571"/>
    <w:rsid w:val="00CB760F"/>
    <w:rsid w:val="00CC160A"/>
    <w:rsid w:val="00CC2FB6"/>
    <w:rsid w:val="00CC58E6"/>
    <w:rsid w:val="00CC6A62"/>
    <w:rsid w:val="00CC6FCA"/>
    <w:rsid w:val="00CD1D50"/>
    <w:rsid w:val="00CD41C9"/>
    <w:rsid w:val="00CD43B5"/>
    <w:rsid w:val="00CD460D"/>
    <w:rsid w:val="00CD5F59"/>
    <w:rsid w:val="00CD65CD"/>
    <w:rsid w:val="00CD730F"/>
    <w:rsid w:val="00CE0ED3"/>
    <w:rsid w:val="00CE22D6"/>
    <w:rsid w:val="00CE3047"/>
    <w:rsid w:val="00CE5CC5"/>
    <w:rsid w:val="00CE6E4D"/>
    <w:rsid w:val="00CE7079"/>
    <w:rsid w:val="00CF0015"/>
    <w:rsid w:val="00CF1386"/>
    <w:rsid w:val="00CF1752"/>
    <w:rsid w:val="00CF261C"/>
    <w:rsid w:val="00CF2E5A"/>
    <w:rsid w:val="00CF3EF9"/>
    <w:rsid w:val="00CF4730"/>
    <w:rsid w:val="00CF6CBC"/>
    <w:rsid w:val="00CF7D46"/>
    <w:rsid w:val="00D0102A"/>
    <w:rsid w:val="00D017F1"/>
    <w:rsid w:val="00D020BC"/>
    <w:rsid w:val="00D04A7A"/>
    <w:rsid w:val="00D05199"/>
    <w:rsid w:val="00D0534D"/>
    <w:rsid w:val="00D05E5B"/>
    <w:rsid w:val="00D07033"/>
    <w:rsid w:val="00D0766F"/>
    <w:rsid w:val="00D110E9"/>
    <w:rsid w:val="00D1228E"/>
    <w:rsid w:val="00D13BC7"/>
    <w:rsid w:val="00D15F34"/>
    <w:rsid w:val="00D16C95"/>
    <w:rsid w:val="00D1770E"/>
    <w:rsid w:val="00D17DD7"/>
    <w:rsid w:val="00D20D95"/>
    <w:rsid w:val="00D211A3"/>
    <w:rsid w:val="00D26546"/>
    <w:rsid w:val="00D3016B"/>
    <w:rsid w:val="00D31663"/>
    <w:rsid w:val="00D31BD4"/>
    <w:rsid w:val="00D31D8A"/>
    <w:rsid w:val="00D3315C"/>
    <w:rsid w:val="00D3346D"/>
    <w:rsid w:val="00D35B1C"/>
    <w:rsid w:val="00D36D20"/>
    <w:rsid w:val="00D41AC1"/>
    <w:rsid w:val="00D42B68"/>
    <w:rsid w:val="00D43BA5"/>
    <w:rsid w:val="00D4463A"/>
    <w:rsid w:val="00D45D35"/>
    <w:rsid w:val="00D47428"/>
    <w:rsid w:val="00D5303E"/>
    <w:rsid w:val="00D5650E"/>
    <w:rsid w:val="00D57E58"/>
    <w:rsid w:val="00D63A20"/>
    <w:rsid w:val="00D640B8"/>
    <w:rsid w:val="00D6430A"/>
    <w:rsid w:val="00D64A23"/>
    <w:rsid w:val="00D653B0"/>
    <w:rsid w:val="00D66354"/>
    <w:rsid w:val="00D672D6"/>
    <w:rsid w:val="00D70990"/>
    <w:rsid w:val="00D731C5"/>
    <w:rsid w:val="00D7360F"/>
    <w:rsid w:val="00D74E09"/>
    <w:rsid w:val="00D76301"/>
    <w:rsid w:val="00D76A65"/>
    <w:rsid w:val="00D76BC0"/>
    <w:rsid w:val="00D77CBE"/>
    <w:rsid w:val="00D82EAC"/>
    <w:rsid w:val="00D85A01"/>
    <w:rsid w:val="00D8627F"/>
    <w:rsid w:val="00D86D18"/>
    <w:rsid w:val="00D87022"/>
    <w:rsid w:val="00D9065A"/>
    <w:rsid w:val="00D90746"/>
    <w:rsid w:val="00D917FF"/>
    <w:rsid w:val="00D929B0"/>
    <w:rsid w:val="00D947A0"/>
    <w:rsid w:val="00D955CC"/>
    <w:rsid w:val="00D96315"/>
    <w:rsid w:val="00DA1882"/>
    <w:rsid w:val="00DA378D"/>
    <w:rsid w:val="00DA3EA2"/>
    <w:rsid w:val="00DA4DBC"/>
    <w:rsid w:val="00DA5321"/>
    <w:rsid w:val="00DA5D71"/>
    <w:rsid w:val="00DA6C16"/>
    <w:rsid w:val="00DA6ED2"/>
    <w:rsid w:val="00DA7788"/>
    <w:rsid w:val="00DA79DF"/>
    <w:rsid w:val="00DB1149"/>
    <w:rsid w:val="00DB1745"/>
    <w:rsid w:val="00DB1F70"/>
    <w:rsid w:val="00DB24B8"/>
    <w:rsid w:val="00DB2664"/>
    <w:rsid w:val="00DC05E4"/>
    <w:rsid w:val="00DC0C98"/>
    <w:rsid w:val="00DC1D42"/>
    <w:rsid w:val="00DC2DA6"/>
    <w:rsid w:val="00DC4F9F"/>
    <w:rsid w:val="00DC5057"/>
    <w:rsid w:val="00DC6E05"/>
    <w:rsid w:val="00DD03FA"/>
    <w:rsid w:val="00DD090E"/>
    <w:rsid w:val="00DD0991"/>
    <w:rsid w:val="00DD0C7B"/>
    <w:rsid w:val="00DD119F"/>
    <w:rsid w:val="00DD300B"/>
    <w:rsid w:val="00DD4B4A"/>
    <w:rsid w:val="00DD4DA6"/>
    <w:rsid w:val="00DD6574"/>
    <w:rsid w:val="00DD6EB7"/>
    <w:rsid w:val="00DD7886"/>
    <w:rsid w:val="00DD7FFB"/>
    <w:rsid w:val="00DE231B"/>
    <w:rsid w:val="00DE3009"/>
    <w:rsid w:val="00DE4FDF"/>
    <w:rsid w:val="00DE5E79"/>
    <w:rsid w:val="00DF014C"/>
    <w:rsid w:val="00DF1122"/>
    <w:rsid w:val="00DF26E9"/>
    <w:rsid w:val="00DF32C7"/>
    <w:rsid w:val="00DF6675"/>
    <w:rsid w:val="00DF6D02"/>
    <w:rsid w:val="00DF705D"/>
    <w:rsid w:val="00DF78C1"/>
    <w:rsid w:val="00DF7CA2"/>
    <w:rsid w:val="00E006E8"/>
    <w:rsid w:val="00E025EE"/>
    <w:rsid w:val="00E04615"/>
    <w:rsid w:val="00E067A1"/>
    <w:rsid w:val="00E06AD1"/>
    <w:rsid w:val="00E06C5E"/>
    <w:rsid w:val="00E07688"/>
    <w:rsid w:val="00E104DD"/>
    <w:rsid w:val="00E105DA"/>
    <w:rsid w:val="00E10ECB"/>
    <w:rsid w:val="00E11BBA"/>
    <w:rsid w:val="00E13C88"/>
    <w:rsid w:val="00E150BF"/>
    <w:rsid w:val="00E15587"/>
    <w:rsid w:val="00E2219D"/>
    <w:rsid w:val="00E2313A"/>
    <w:rsid w:val="00E232BD"/>
    <w:rsid w:val="00E24E86"/>
    <w:rsid w:val="00E257C2"/>
    <w:rsid w:val="00E27310"/>
    <w:rsid w:val="00E301E7"/>
    <w:rsid w:val="00E320B9"/>
    <w:rsid w:val="00E3216C"/>
    <w:rsid w:val="00E32E3E"/>
    <w:rsid w:val="00E33EF6"/>
    <w:rsid w:val="00E35F3C"/>
    <w:rsid w:val="00E4015E"/>
    <w:rsid w:val="00E415DE"/>
    <w:rsid w:val="00E42506"/>
    <w:rsid w:val="00E43895"/>
    <w:rsid w:val="00E44AA4"/>
    <w:rsid w:val="00E451CF"/>
    <w:rsid w:val="00E47989"/>
    <w:rsid w:val="00E47D39"/>
    <w:rsid w:val="00E504D9"/>
    <w:rsid w:val="00E50BE4"/>
    <w:rsid w:val="00E51E5F"/>
    <w:rsid w:val="00E51F1E"/>
    <w:rsid w:val="00E56F20"/>
    <w:rsid w:val="00E5759B"/>
    <w:rsid w:val="00E6341D"/>
    <w:rsid w:val="00E63CD2"/>
    <w:rsid w:val="00E654B8"/>
    <w:rsid w:val="00E662D4"/>
    <w:rsid w:val="00E66D7B"/>
    <w:rsid w:val="00E66F19"/>
    <w:rsid w:val="00E67A18"/>
    <w:rsid w:val="00E70D6E"/>
    <w:rsid w:val="00E716E5"/>
    <w:rsid w:val="00E7229E"/>
    <w:rsid w:val="00E7230D"/>
    <w:rsid w:val="00E72351"/>
    <w:rsid w:val="00E729E6"/>
    <w:rsid w:val="00E74379"/>
    <w:rsid w:val="00E74CC8"/>
    <w:rsid w:val="00E77631"/>
    <w:rsid w:val="00E80001"/>
    <w:rsid w:val="00E8102E"/>
    <w:rsid w:val="00E813A9"/>
    <w:rsid w:val="00E81BC5"/>
    <w:rsid w:val="00E8748C"/>
    <w:rsid w:val="00E960CE"/>
    <w:rsid w:val="00E968F6"/>
    <w:rsid w:val="00E96EA3"/>
    <w:rsid w:val="00E97A84"/>
    <w:rsid w:val="00E97D87"/>
    <w:rsid w:val="00EA05C1"/>
    <w:rsid w:val="00EA23A2"/>
    <w:rsid w:val="00EA2577"/>
    <w:rsid w:val="00EA3CEC"/>
    <w:rsid w:val="00EA5DA5"/>
    <w:rsid w:val="00EA681B"/>
    <w:rsid w:val="00EA6DA8"/>
    <w:rsid w:val="00EB06BC"/>
    <w:rsid w:val="00EB1C2F"/>
    <w:rsid w:val="00EB2E51"/>
    <w:rsid w:val="00EB32A1"/>
    <w:rsid w:val="00EB36D4"/>
    <w:rsid w:val="00EB3BFE"/>
    <w:rsid w:val="00EB48FA"/>
    <w:rsid w:val="00EB67D7"/>
    <w:rsid w:val="00EB69AD"/>
    <w:rsid w:val="00EC0E89"/>
    <w:rsid w:val="00EC412E"/>
    <w:rsid w:val="00EC5A7D"/>
    <w:rsid w:val="00EC6763"/>
    <w:rsid w:val="00ED1675"/>
    <w:rsid w:val="00ED2FCF"/>
    <w:rsid w:val="00ED3FB4"/>
    <w:rsid w:val="00ED49A7"/>
    <w:rsid w:val="00ED4EEF"/>
    <w:rsid w:val="00ED5BD7"/>
    <w:rsid w:val="00ED5E77"/>
    <w:rsid w:val="00ED5F80"/>
    <w:rsid w:val="00ED797B"/>
    <w:rsid w:val="00ED7DB1"/>
    <w:rsid w:val="00EE0762"/>
    <w:rsid w:val="00EE2160"/>
    <w:rsid w:val="00EE2554"/>
    <w:rsid w:val="00EE2AC2"/>
    <w:rsid w:val="00EE393A"/>
    <w:rsid w:val="00EE39D9"/>
    <w:rsid w:val="00EE4E4F"/>
    <w:rsid w:val="00EE5608"/>
    <w:rsid w:val="00EE68FD"/>
    <w:rsid w:val="00EE6987"/>
    <w:rsid w:val="00EE7449"/>
    <w:rsid w:val="00EF0133"/>
    <w:rsid w:val="00EF0766"/>
    <w:rsid w:val="00EF0E46"/>
    <w:rsid w:val="00EF33A1"/>
    <w:rsid w:val="00EF354C"/>
    <w:rsid w:val="00EF636E"/>
    <w:rsid w:val="00EF6B59"/>
    <w:rsid w:val="00F00BA8"/>
    <w:rsid w:val="00F0147A"/>
    <w:rsid w:val="00F05405"/>
    <w:rsid w:val="00F0551E"/>
    <w:rsid w:val="00F06F53"/>
    <w:rsid w:val="00F06F9D"/>
    <w:rsid w:val="00F07DD2"/>
    <w:rsid w:val="00F10B06"/>
    <w:rsid w:val="00F11990"/>
    <w:rsid w:val="00F1359B"/>
    <w:rsid w:val="00F13B82"/>
    <w:rsid w:val="00F15114"/>
    <w:rsid w:val="00F15256"/>
    <w:rsid w:val="00F15DE7"/>
    <w:rsid w:val="00F20D08"/>
    <w:rsid w:val="00F20D33"/>
    <w:rsid w:val="00F21AA4"/>
    <w:rsid w:val="00F22D96"/>
    <w:rsid w:val="00F25104"/>
    <w:rsid w:val="00F252F2"/>
    <w:rsid w:val="00F25A9E"/>
    <w:rsid w:val="00F26645"/>
    <w:rsid w:val="00F274FE"/>
    <w:rsid w:val="00F3172B"/>
    <w:rsid w:val="00F31898"/>
    <w:rsid w:val="00F32060"/>
    <w:rsid w:val="00F32173"/>
    <w:rsid w:val="00F323AF"/>
    <w:rsid w:val="00F32714"/>
    <w:rsid w:val="00F3334F"/>
    <w:rsid w:val="00F3343D"/>
    <w:rsid w:val="00F34D93"/>
    <w:rsid w:val="00F35558"/>
    <w:rsid w:val="00F36DC7"/>
    <w:rsid w:val="00F40F2A"/>
    <w:rsid w:val="00F43975"/>
    <w:rsid w:val="00F457BD"/>
    <w:rsid w:val="00F45C11"/>
    <w:rsid w:val="00F47348"/>
    <w:rsid w:val="00F47A87"/>
    <w:rsid w:val="00F50633"/>
    <w:rsid w:val="00F5344C"/>
    <w:rsid w:val="00F5395D"/>
    <w:rsid w:val="00F53DC1"/>
    <w:rsid w:val="00F567B6"/>
    <w:rsid w:val="00F56CD3"/>
    <w:rsid w:val="00F57F21"/>
    <w:rsid w:val="00F60C64"/>
    <w:rsid w:val="00F60F15"/>
    <w:rsid w:val="00F60FF2"/>
    <w:rsid w:val="00F6186A"/>
    <w:rsid w:val="00F6319E"/>
    <w:rsid w:val="00F64558"/>
    <w:rsid w:val="00F6674F"/>
    <w:rsid w:val="00F66816"/>
    <w:rsid w:val="00F66F0B"/>
    <w:rsid w:val="00F70914"/>
    <w:rsid w:val="00F71872"/>
    <w:rsid w:val="00F72958"/>
    <w:rsid w:val="00F72CED"/>
    <w:rsid w:val="00F7420D"/>
    <w:rsid w:val="00F759B7"/>
    <w:rsid w:val="00F7646E"/>
    <w:rsid w:val="00F773B8"/>
    <w:rsid w:val="00F81A06"/>
    <w:rsid w:val="00F81A81"/>
    <w:rsid w:val="00F85F6D"/>
    <w:rsid w:val="00F86611"/>
    <w:rsid w:val="00F917F3"/>
    <w:rsid w:val="00F91D85"/>
    <w:rsid w:val="00F92020"/>
    <w:rsid w:val="00F932E8"/>
    <w:rsid w:val="00F9443B"/>
    <w:rsid w:val="00F962A6"/>
    <w:rsid w:val="00F96E47"/>
    <w:rsid w:val="00F97585"/>
    <w:rsid w:val="00FA07C9"/>
    <w:rsid w:val="00FA3431"/>
    <w:rsid w:val="00FA4219"/>
    <w:rsid w:val="00FA4FDE"/>
    <w:rsid w:val="00FA5398"/>
    <w:rsid w:val="00FA6D16"/>
    <w:rsid w:val="00FA7CFB"/>
    <w:rsid w:val="00FB0042"/>
    <w:rsid w:val="00FB0937"/>
    <w:rsid w:val="00FB12B1"/>
    <w:rsid w:val="00FB1572"/>
    <w:rsid w:val="00FB25EA"/>
    <w:rsid w:val="00FB341F"/>
    <w:rsid w:val="00FB3716"/>
    <w:rsid w:val="00FB47C1"/>
    <w:rsid w:val="00FB4AB2"/>
    <w:rsid w:val="00FB677B"/>
    <w:rsid w:val="00FC1CE2"/>
    <w:rsid w:val="00FC273F"/>
    <w:rsid w:val="00FC3835"/>
    <w:rsid w:val="00FC3A1C"/>
    <w:rsid w:val="00FC59AD"/>
    <w:rsid w:val="00FC7032"/>
    <w:rsid w:val="00FC7CC7"/>
    <w:rsid w:val="00FD05EF"/>
    <w:rsid w:val="00FD153B"/>
    <w:rsid w:val="00FD2042"/>
    <w:rsid w:val="00FD2D00"/>
    <w:rsid w:val="00FD41D0"/>
    <w:rsid w:val="00FD57B3"/>
    <w:rsid w:val="00FD6309"/>
    <w:rsid w:val="00FD68ED"/>
    <w:rsid w:val="00FE0917"/>
    <w:rsid w:val="00FE17A9"/>
    <w:rsid w:val="00FE1F31"/>
    <w:rsid w:val="00FE1F6E"/>
    <w:rsid w:val="00FE269E"/>
    <w:rsid w:val="00FE36DF"/>
    <w:rsid w:val="00FE407A"/>
    <w:rsid w:val="00FE46EB"/>
    <w:rsid w:val="00FE4930"/>
    <w:rsid w:val="00FE7C7D"/>
    <w:rsid w:val="00FF0DF8"/>
    <w:rsid w:val="00FF3080"/>
    <w:rsid w:val="00FF3B5E"/>
    <w:rsid w:val="00FF5CDF"/>
    <w:rsid w:val="00FF6072"/>
    <w:rsid w:val="00FF627B"/>
    <w:rsid w:val="00FF6F24"/>
    <w:rsid w:val="00FF7663"/>
    <w:rsid w:val="00FF7DE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4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9"/>
  <c:chart>
    <c:view3D>
      <c:depthPercent val="100"/>
      <c:rAngAx val="1"/>
    </c:view3D>
    <c:plotArea>
      <c:layout>
        <c:manualLayout>
          <c:layoutTarget val="inner"/>
          <c:xMode val="edge"/>
          <c:yMode val="edge"/>
          <c:x val="6.9942220764071333E-2"/>
          <c:y val="0.19146325459317701"/>
          <c:w val="0.89607739136774556"/>
          <c:h val="0.42772840894888375"/>
        </c:manualLayout>
      </c:layout>
      <c:bar3DChart>
        <c:barDir val="col"/>
        <c:grouping val="clustered"/>
        <c:ser>
          <c:idx val="0"/>
          <c:order val="0"/>
          <c:tx>
            <c:strRef>
              <c:f>Аркуш1!$B$1</c:f>
              <c:strCache>
                <c:ptCount val="1"/>
                <c:pt idx="0">
                  <c:v>1-st group</c:v>
                </c:pt>
              </c:strCache>
            </c:strRef>
          </c:tx>
          <c:dLbls>
            <c:dLbl>
              <c:idx val="0"/>
              <c:layout>
                <c:manualLayout>
                  <c:x val="-4.1666666666666692E-2"/>
                  <c:y val="2.7777777777778109E-2"/>
                </c:manualLayout>
              </c:layout>
              <c:showVal val="1"/>
            </c:dLbl>
            <c:dLbl>
              <c:idx val="1"/>
              <c:layout>
                <c:manualLayout>
                  <c:x val="-2.3148148148148147E-3"/>
                  <c:y val="-3.9682539682539791E-2"/>
                </c:manualLayout>
              </c:layout>
              <c:showVal val="1"/>
            </c:dLbl>
            <c:dLbl>
              <c:idx val="2"/>
              <c:layout>
                <c:manualLayout>
                  <c:x val="-6.9444444444444432E-3"/>
                  <c:y val="-4.3650793650793773E-2"/>
                </c:manualLayout>
              </c:layout>
              <c:showVal val="1"/>
            </c:dLbl>
            <c:dLbl>
              <c:idx val="3"/>
              <c:layout>
                <c:manualLayout>
                  <c:x val="-2.3148148148148147E-3"/>
                  <c:y val="-3.5714285714285712E-2"/>
                </c:manualLayout>
              </c:layout>
              <c:showVal val="1"/>
            </c:dLbl>
            <c:dLbl>
              <c:idx val="4"/>
              <c:layout>
                <c:manualLayout>
                  <c:x val="1.157407407407408E-2"/>
                  <c:y val="-1.1904761904761947E-2"/>
                </c:manualLayout>
              </c:layout>
              <c:showVal val="1"/>
            </c:dLbl>
            <c:spPr>
              <a:solidFill>
                <a:schemeClr val="lt1"/>
              </a:solidFill>
              <a:ln w="25401" cap="flat" cmpd="sng" algn="ctr">
                <a:solidFill>
                  <a:schemeClr val="dk1"/>
                </a:solidFill>
                <a:prstDash val="solid"/>
              </a:ln>
              <a:effectLst/>
            </c:spPr>
            <c:txPr>
              <a:bodyPr/>
              <a:lstStyle/>
              <a:p>
                <a:pPr>
                  <a:defRPr lang="uk-UA" b="1">
                    <a:solidFill>
                      <a:schemeClr val="dk1"/>
                    </a:solidFill>
                    <a:latin typeface="Times New Roman" pitchFamily="18" charset="0"/>
                    <a:ea typeface="+mn-ea"/>
                    <a:cs typeface="Times New Roman" pitchFamily="18" charset="0"/>
                  </a:defRPr>
                </a:pPr>
                <a:endParaRPr lang="ru-RU"/>
              </a:p>
            </c:txPr>
            <c:showVal val="1"/>
          </c:dLbls>
          <c:cat>
            <c:strRef>
              <c:f>Аркуш1!$A$2:$A$8</c:f>
              <c:strCache>
                <c:ptCount val="7"/>
                <c:pt idx="0">
                  <c:v>pain</c:v>
                </c:pt>
                <c:pt idx="1">
                  <c:v>astheno-neurotic </c:v>
                </c:pt>
                <c:pt idx="2">
                  <c:v>dyspepsia</c:v>
                </c:pt>
                <c:pt idx="3">
                  <c:v>anemia</c:v>
                </c:pt>
                <c:pt idx="4">
                  <c:v>allergic</c:v>
                </c:pt>
                <c:pt idx="5">
                  <c:v>hypovitaminosis</c:v>
                </c:pt>
                <c:pt idx="6">
                  <c:v>steatorrhea </c:v>
                </c:pt>
              </c:strCache>
            </c:strRef>
          </c:cat>
          <c:val>
            <c:numRef>
              <c:f>Аркуш1!$B$2:$B$8</c:f>
              <c:numCache>
                <c:formatCode>0%</c:formatCode>
                <c:ptCount val="7"/>
                <c:pt idx="0">
                  <c:v>0.25</c:v>
                </c:pt>
                <c:pt idx="1">
                  <c:v>0.30000000000000027</c:v>
                </c:pt>
                <c:pt idx="2">
                  <c:v>0.25</c:v>
                </c:pt>
                <c:pt idx="3">
                  <c:v>0.4</c:v>
                </c:pt>
                <c:pt idx="4">
                  <c:v>0.25</c:v>
                </c:pt>
                <c:pt idx="5">
                  <c:v>0.60000000000000053</c:v>
                </c:pt>
                <c:pt idx="6">
                  <c:v>0.30000000000000027</c:v>
                </c:pt>
              </c:numCache>
            </c:numRef>
          </c:val>
        </c:ser>
        <c:ser>
          <c:idx val="1"/>
          <c:order val="1"/>
          <c:tx>
            <c:strRef>
              <c:f>Аркуш1!$C$1</c:f>
              <c:strCache>
                <c:ptCount val="1"/>
                <c:pt idx="0">
                  <c:v>2-nd group</c:v>
                </c:pt>
              </c:strCache>
            </c:strRef>
          </c:tx>
          <c:dLbls>
            <c:dLbl>
              <c:idx val="2"/>
              <c:layout>
                <c:manualLayout>
                  <c:x val="0"/>
                  <c:y val="3.1746031746031744E-2"/>
                </c:manualLayout>
              </c:layout>
              <c:showVal val="1"/>
            </c:dLbl>
            <c:dLbl>
              <c:idx val="4"/>
              <c:layout>
                <c:manualLayout>
                  <c:x val="2.3148148148148147E-3"/>
                  <c:y val="4.7619047619047693E-2"/>
                </c:manualLayout>
              </c:layout>
              <c:showVal val="1"/>
            </c:dLbl>
            <c:spPr>
              <a:solidFill>
                <a:schemeClr val="lt1"/>
              </a:solidFill>
              <a:ln w="25401" cap="flat" cmpd="sng" algn="ctr">
                <a:solidFill>
                  <a:schemeClr val="dk1"/>
                </a:solidFill>
                <a:prstDash val="solid"/>
              </a:ln>
              <a:effectLst/>
            </c:spPr>
            <c:txPr>
              <a:bodyPr/>
              <a:lstStyle/>
              <a:p>
                <a:pPr>
                  <a:defRPr lang="uk-UA" b="1">
                    <a:solidFill>
                      <a:schemeClr val="dk1"/>
                    </a:solidFill>
                    <a:latin typeface="Times New Roman" pitchFamily="18" charset="0"/>
                    <a:ea typeface="+mn-ea"/>
                    <a:cs typeface="Times New Roman" pitchFamily="18" charset="0"/>
                  </a:defRPr>
                </a:pPr>
                <a:endParaRPr lang="ru-RU"/>
              </a:p>
            </c:txPr>
            <c:showVal val="1"/>
          </c:dLbls>
          <c:cat>
            <c:strRef>
              <c:f>Аркуш1!$A$2:$A$8</c:f>
              <c:strCache>
                <c:ptCount val="7"/>
                <c:pt idx="0">
                  <c:v>pain</c:v>
                </c:pt>
                <c:pt idx="1">
                  <c:v>astheno-neurotic </c:v>
                </c:pt>
                <c:pt idx="2">
                  <c:v>dyspepsia</c:v>
                </c:pt>
                <c:pt idx="3">
                  <c:v>anemia</c:v>
                </c:pt>
                <c:pt idx="4">
                  <c:v>allergic</c:v>
                </c:pt>
                <c:pt idx="5">
                  <c:v>hypovitaminosis</c:v>
                </c:pt>
                <c:pt idx="6">
                  <c:v>steatorrhea </c:v>
                </c:pt>
              </c:strCache>
            </c:strRef>
          </c:cat>
          <c:val>
            <c:numRef>
              <c:f>Аркуш1!$C$2:$C$8</c:f>
              <c:numCache>
                <c:formatCode>0%</c:formatCode>
                <c:ptCount val="7"/>
                <c:pt idx="0">
                  <c:v>0.17</c:v>
                </c:pt>
                <c:pt idx="1">
                  <c:v>0.25</c:v>
                </c:pt>
                <c:pt idx="2">
                  <c:v>0.17</c:v>
                </c:pt>
                <c:pt idx="3">
                  <c:v>0.3300000000000004</c:v>
                </c:pt>
                <c:pt idx="4">
                  <c:v>0.17</c:v>
                </c:pt>
                <c:pt idx="5">
                  <c:v>0.5</c:v>
                </c:pt>
                <c:pt idx="6">
                  <c:v>0.17</c:v>
                </c:pt>
              </c:numCache>
            </c:numRef>
          </c:val>
        </c:ser>
        <c:ser>
          <c:idx val="2"/>
          <c:order val="2"/>
          <c:tx>
            <c:strRef>
              <c:f>Аркуш1!$D$1</c:f>
              <c:strCache>
                <c:ptCount val="1"/>
                <c:pt idx="0">
                  <c:v>3-rd group</c:v>
                </c:pt>
              </c:strCache>
            </c:strRef>
          </c:tx>
          <c:dLbls>
            <c:dLbl>
              <c:idx val="0"/>
              <c:layout>
                <c:manualLayout>
                  <c:x val="2.0833333333333467E-2"/>
                  <c:y val="1.1904761904761947E-2"/>
                </c:manualLayout>
              </c:layout>
              <c:showVal val="1"/>
            </c:dLbl>
            <c:dLbl>
              <c:idx val="1"/>
              <c:layout>
                <c:manualLayout>
                  <c:x val="1.3888888888889003E-2"/>
                  <c:y val="2.3809523809523846E-2"/>
                </c:manualLayout>
              </c:layout>
              <c:showVal val="1"/>
            </c:dLbl>
            <c:dLbl>
              <c:idx val="2"/>
              <c:layout>
                <c:manualLayout>
                  <c:x val="2.0833333333333467E-2"/>
                  <c:y val="-3.968253968253981E-3"/>
                </c:manualLayout>
              </c:layout>
              <c:showVal val="1"/>
            </c:dLbl>
            <c:dLbl>
              <c:idx val="3"/>
              <c:layout>
                <c:manualLayout>
                  <c:x val="1.3888888888889003E-2"/>
                  <c:y val="7.5396825396825531E-2"/>
                </c:manualLayout>
              </c:layout>
              <c:showVal val="1"/>
            </c:dLbl>
            <c:dLbl>
              <c:idx val="4"/>
              <c:layout>
                <c:manualLayout>
                  <c:x val="2.7777777777778109E-2"/>
                  <c:y val="1.1904761904761947E-2"/>
                </c:manualLayout>
              </c:layout>
              <c:showVal val="1"/>
            </c:dLbl>
            <c:dLbl>
              <c:idx val="5"/>
              <c:layout>
                <c:manualLayout>
                  <c:x val="4.1666666666666692E-2"/>
                  <c:y val="0"/>
                </c:manualLayout>
              </c:layout>
              <c:showVal val="1"/>
            </c:dLbl>
            <c:dLbl>
              <c:idx val="6"/>
              <c:layout>
                <c:manualLayout>
                  <c:x val="3.9351851851851853E-2"/>
                  <c:y val="-1.5873015873015883E-2"/>
                </c:manualLayout>
              </c:layout>
              <c:showVal val="1"/>
            </c:dLbl>
            <c:spPr>
              <a:solidFill>
                <a:schemeClr val="lt1"/>
              </a:solidFill>
              <a:ln w="25401" cap="flat" cmpd="sng" algn="ctr">
                <a:solidFill>
                  <a:schemeClr val="dk1"/>
                </a:solidFill>
                <a:prstDash val="solid"/>
              </a:ln>
              <a:effectLst/>
            </c:spPr>
            <c:txPr>
              <a:bodyPr/>
              <a:lstStyle/>
              <a:p>
                <a:pPr>
                  <a:defRPr lang="uk-UA" b="1">
                    <a:solidFill>
                      <a:schemeClr val="dk1"/>
                    </a:solidFill>
                    <a:latin typeface="Times New Roman" pitchFamily="18" charset="0"/>
                    <a:ea typeface="+mn-ea"/>
                    <a:cs typeface="Times New Roman" pitchFamily="18" charset="0"/>
                  </a:defRPr>
                </a:pPr>
                <a:endParaRPr lang="ru-RU"/>
              </a:p>
            </c:txPr>
            <c:showVal val="1"/>
          </c:dLbls>
          <c:cat>
            <c:strRef>
              <c:f>Аркуш1!$A$2:$A$8</c:f>
              <c:strCache>
                <c:ptCount val="7"/>
                <c:pt idx="0">
                  <c:v>pain</c:v>
                </c:pt>
                <c:pt idx="1">
                  <c:v>astheno-neurotic </c:v>
                </c:pt>
                <c:pt idx="2">
                  <c:v>dyspepsia</c:v>
                </c:pt>
                <c:pt idx="3">
                  <c:v>anemia</c:v>
                </c:pt>
                <c:pt idx="4">
                  <c:v>allergic</c:v>
                </c:pt>
                <c:pt idx="5">
                  <c:v>hypovitaminosis</c:v>
                </c:pt>
                <c:pt idx="6">
                  <c:v>steatorrhea </c:v>
                </c:pt>
              </c:strCache>
            </c:strRef>
          </c:cat>
          <c:val>
            <c:numRef>
              <c:f>Аркуш1!$D$2:$D$8</c:f>
              <c:numCache>
                <c:formatCode>0%</c:formatCode>
                <c:ptCount val="7"/>
                <c:pt idx="0">
                  <c:v>8.0000000000000043E-2</c:v>
                </c:pt>
                <c:pt idx="1">
                  <c:v>0.15000000000000013</c:v>
                </c:pt>
                <c:pt idx="2">
                  <c:v>0.23</c:v>
                </c:pt>
                <c:pt idx="3">
                  <c:v>0.23</c:v>
                </c:pt>
                <c:pt idx="4">
                  <c:v>0.23</c:v>
                </c:pt>
                <c:pt idx="5">
                  <c:v>0.54</c:v>
                </c:pt>
                <c:pt idx="6">
                  <c:v>0.23</c:v>
                </c:pt>
              </c:numCache>
            </c:numRef>
          </c:val>
        </c:ser>
        <c:shape val="box"/>
        <c:axId val="66239104"/>
        <c:axId val="66301952"/>
        <c:axId val="0"/>
      </c:bar3DChart>
      <c:catAx>
        <c:axId val="66239104"/>
        <c:scaling>
          <c:orientation val="minMax"/>
        </c:scaling>
        <c:axPos val="b"/>
        <c:numFmt formatCode="General" sourceLinked="1"/>
        <c:tickLblPos val="nextTo"/>
        <c:txPr>
          <a:bodyPr/>
          <a:lstStyle/>
          <a:p>
            <a:pPr>
              <a:defRPr lang="uk-UA" sz="1050">
                <a:latin typeface="Times New Roman" pitchFamily="18" charset="0"/>
                <a:cs typeface="Times New Roman" pitchFamily="18" charset="0"/>
              </a:defRPr>
            </a:pPr>
            <a:endParaRPr lang="ru-RU"/>
          </a:p>
        </c:txPr>
        <c:crossAx val="66301952"/>
        <c:crosses val="autoZero"/>
        <c:auto val="1"/>
        <c:lblAlgn val="ctr"/>
        <c:lblOffset val="100"/>
      </c:catAx>
      <c:valAx>
        <c:axId val="66301952"/>
        <c:scaling>
          <c:orientation val="minMax"/>
        </c:scaling>
        <c:delete val="1"/>
        <c:axPos val="l"/>
        <c:numFmt formatCode="0%" sourceLinked="1"/>
        <c:tickLblPos val="none"/>
        <c:crossAx val="66239104"/>
        <c:crosses val="autoZero"/>
        <c:crossBetween val="between"/>
      </c:valAx>
      <c:spPr>
        <a:noFill/>
        <a:ln w="25401">
          <a:noFill/>
        </a:ln>
      </c:spPr>
    </c:plotArea>
    <c:legend>
      <c:legendPos val="tr"/>
      <c:txPr>
        <a:bodyPr/>
        <a:lstStyle/>
        <a:p>
          <a:pPr>
            <a:defRPr lang="uk-UA">
              <a:latin typeface="Times New Roman" pitchFamily="18" charset="0"/>
              <a:cs typeface="Times New Roman" pitchFamily="18" charset="0"/>
            </a:defRPr>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11809185572871647"/>
          <c:y val="3.8381735948841815E-4"/>
          <c:w val="0.91249325477671939"/>
          <c:h val="0.69040452417674558"/>
        </c:manualLayout>
      </c:layout>
      <c:barChart>
        <c:barDir val="col"/>
        <c:grouping val="clustered"/>
        <c:ser>
          <c:idx val="0"/>
          <c:order val="0"/>
          <c:tx>
            <c:strRef>
              <c:f>Sheet1!$A$2</c:f>
              <c:strCache>
                <c:ptCount val="1"/>
                <c:pt idx="0">
                  <c:v>1-st group</c:v>
                </c:pt>
              </c:strCache>
            </c:strRef>
          </c:tx>
          <c:dLbls>
            <c:dLbl>
              <c:idx val="0"/>
              <c:tx>
                <c:rich>
                  <a:bodyPr/>
                  <a:lstStyle/>
                  <a:p>
                    <a:r>
                      <a:rPr lang="en-US" sz="1200" b="1">
                        <a:latin typeface="Times New Roman" pitchFamily="18" charset="0"/>
                        <a:cs typeface="Times New Roman" pitchFamily="18" charset="0"/>
                      </a:rPr>
                      <a:t>7</a:t>
                    </a:r>
                    <a:endParaRPr lang="en-US"/>
                  </a:p>
                </c:rich>
              </c:tx>
              <c:showVal val="1"/>
            </c:dLbl>
            <c:dLbl>
              <c:idx val="1"/>
              <c:layout>
                <c:manualLayout>
                  <c:x val="8.3678757914298264E-5"/>
                  <c:y val="6.6429822921211532E-3"/>
                </c:manualLayout>
              </c:layout>
              <c:tx>
                <c:rich>
                  <a:bodyPr/>
                  <a:lstStyle/>
                  <a:p>
                    <a:r>
                      <a:rPr lang="en-US" sz="1200" b="1">
                        <a:latin typeface="Times New Roman" pitchFamily="18" charset="0"/>
                        <a:cs typeface="Times New Roman" pitchFamily="18" charset="0"/>
                      </a:rPr>
                      <a:t>8</a:t>
                    </a:r>
                    <a:endParaRPr lang="en-US"/>
                  </a:p>
                </c:rich>
              </c:tx>
              <c:showVal val="1"/>
            </c:dLbl>
            <c:dLbl>
              <c:idx val="2"/>
              <c:tx>
                <c:rich>
                  <a:bodyPr/>
                  <a:lstStyle/>
                  <a:p>
                    <a:r>
                      <a:rPr lang="en-US" sz="1200" b="1">
                        <a:latin typeface="Times New Roman" pitchFamily="18" charset="0"/>
                        <a:cs typeface="Times New Roman" pitchFamily="18" charset="0"/>
                      </a:rPr>
                      <a:t>8</a:t>
                    </a:r>
                    <a:endParaRPr lang="en-US"/>
                  </a:p>
                </c:rich>
              </c:tx>
              <c:showVal val="1"/>
            </c:dLbl>
            <c:dLbl>
              <c:idx val="3"/>
              <c:layout>
                <c:manualLayout>
                  <c:x val="-5.6377730796335493E-3"/>
                  <c:y val="-1.2295930027216254E-2"/>
                </c:manualLayout>
              </c:layout>
              <c:tx>
                <c:rich>
                  <a:bodyPr/>
                  <a:lstStyle/>
                  <a:p>
                    <a:r>
                      <a:rPr lang="en-US" sz="1200" b="1">
                        <a:latin typeface="Times New Roman" pitchFamily="18" charset="0"/>
                        <a:cs typeface="Times New Roman" pitchFamily="18" charset="0"/>
                      </a:rPr>
                      <a:t>5</a:t>
                    </a:r>
                    <a:endParaRPr lang="en-US"/>
                  </a:p>
                </c:rich>
              </c:tx>
              <c:showVal val="1"/>
            </c:dLbl>
            <c:dLbl>
              <c:idx val="4"/>
              <c:layout>
                <c:manualLayout>
                  <c:x val="-5.6377730796335493E-3"/>
                  <c:y val="2.4626209322779282E-2"/>
                </c:manualLayout>
              </c:layout>
              <c:tx>
                <c:rich>
                  <a:bodyPr/>
                  <a:lstStyle/>
                  <a:p>
                    <a:r>
                      <a:rPr lang="en-US" sz="1200" b="1">
                        <a:latin typeface="Times New Roman" pitchFamily="18" charset="0"/>
                        <a:cs typeface="Times New Roman" pitchFamily="18" charset="0"/>
                      </a:rPr>
                      <a:t>9</a:t>
                    </a:r>
                    <a:endParaRPr lang="en-US"/>
                  </a:p>
                </c:rich>
              </c:tx>
              <c:showVal val="1"/>
            </c:dLbl>
            <c:spPr>
              <a:solidFill>
                <a:schemeClr val="lt1"/>
              </a:solidFill>
              <a:ln w="25400" cap="flat" cmpd="sng" algn="ctr">
                <a:solidFill>
                  <a:schemeClr val="dk1"/>
                </a:solidFill>
                <a:prstDash val="solid"/>
              </a:ln>
              <a:effectLst/>
            </c:spPr>
            <c:txPr>
              <a:bodyPr/>
              <a:lstStyle/>
              <a:p>
                <a:pPr>
                  <a:defRPr lang="uk-UA" sz="1200" b="1">
                    <a:solidFill>
                      <a:schemeClr val="dk1"/>
                    </a:solidFill>
                    <a:latin typeface="Times New Roman" pitchFamily="18" charset="0"/>
                    <a:ea typeface="+mn-ea"/>
                    <a:cs typeface="Times New Roman" pitchFamily="18" charset="0"/>
                  </a:defRPr>
                </a:pPr>
                <a:endParaRPr lang="ru-RU"/>
              </a:p>
            </c:txPr>
            <c:showVal val="1"/>
          </c:dLbls>
          <c:cat>
            <c:strRef>
              <c:f>Sheet1!$B$1:$F$1</c:f>
              <c:strCache>
                <c:ptCount val="5"/>
                <c:pt idx="0">
                  <c:v>abdominal pain </c:v>
                </c:pt>
                <c:pt idx="1">
                  <c:v>gastral reflux </c:v>
                </c:pt>
                <c:pt idx="2">
                  <c:v>diarrhea</c:v>
                </c:pt>
                <c:pt idx="3">
                  <c:v>constipation</c:v>
                </c:pt>
                <c:pt idx="4">
                  <c:v>dyspepsia</c:v>
                </c:pt>
              </c:strCache>
            </c:strRef>
          </c:cat>
          <c:val>
            <c:numRef>
              <c:f>Sheet1!$B$2:$F$2</c:f>
              <c:numCache>
                <c:formatCode>General</c:formatCode>
                <c:ptCount val="5"/>
                <c:pt idx="0">
                  <c:v>7.59</c:v>
                </c:pt>
                <c:pt idx="1">
                  <c:v>8.19</c:v>
                </c:pt>
                <c:pt idx="2">
                  <c:v>8.08</c:v>
                </c:pt>
                <c:pt idx="3">
                  <c:v>5.54</c:v>
                </c:pt>
                <c:pt idx="4">
                  <c:v>9.76</c:v>
                </c:pt>
              </c:numCache>
            </c:numRef>
          </c:val>
        </c:ser>
        <c:ser>
          <c:idx val="1"/>
          <c:order val="1"/>
          <c:tx>
            <c:strRef>
              <c:f>Sheet1!$A$3</c:f>
              <c:strCache>
                <c:ptCount val="1"/>
                <c:pt idx="0">
                  <c:v>2-nd group</c:v>
                </c:pt>
              </c:strCache>
            </c:strRef>
          </c:tx>
          <c:dLbls>
            <c:dLbl>
              <c:idx val="0"/>
              <c:layout>
                <c:manualLayout>
                  <c:x val="1.1275546159267107E-2"/>
                  <c:y val="1.0554089709762668E-2"/>
                </c:manualLayout>
              </c:layout>
              <c:tx>
                <c:rich>
                  <a:bodyPr/>
                  <a:lstStyle/>
                  <a:p>
                    <a:r>
                      <a:rPr lang="en-US" sz="1200" b="1">
                        <a:latin typeface="Times New Roman" pitchFamily="18" charset="0"/>
                        <a:cs typeface="Times New Roman" pitchFamily="18" charset="0"/>
                      </a:rPr>
                      <a:t>5</a:t>
                    </a:r>
                    <a:endParaRPr lang="en-US"/>
                  </a:p>
                </c:rich>
              </c:tx>
              <c:showVal val="1"/>
            </c:dLbl>
            <c:dLbl>
              <c:idx val="1"/>
              <c:tx>
                <c:rich>
                  <a:bodyPr/>
                  <a:lstStyle/>
                  <a:p>
                    <a:r>
                      <a:rPr lang="en-US" sz="1200" b="1">
                        <a:latin typeface="Times New Roman" pitchFamily="18" charset="0"/>
                        <a:cs typeface="Times New Roman" pitchFamily="18" charset="0"/>
                      </a:rPr>
                      <a:t>6</a:t>
                    </a:r>
                    <a:endParaRPr lang="en-US"/>
                  </a:p>
                </c:rich>
              </c:tx>
              <c:showVal val="1"/>
            </c:dLbl>
            <c:dLbl>
              <c:idx val="2"/>
              <c:tx>
                <c:rich>
                  <a:bodyPr/>
                  <a:lstStyle/>
                  <a:p>
                    <a:r>
                      <a:rPr lang="uk-UA" sz="1200" b="1">
                        <a:latin typeface="Times New Roman" pitchFamily="18" charset="0"/>
                        <a:cs typeface="Times New Roman" pitchFamily="18" charset="0"/>
                      </a:rPr>
                      <a:t>5</a:t>
                    </a:r>
                    <a:endParaRPr lang="en-US"/>
                  </a:p>
                </c:rich>
              </c:tx>
              <c:showVal val="1"/>
            </c:dLbl>
            <c:dLbl>
              <c:idx val="3"/>
              <c:layout>
                <c:manualLayout>
                  <c:x val="2.2551092318534211E-2"/>
                  <c:y val="2.1108179419525371E-2"/>
                </c:manualLayout>
              </c:layout>
              <c:tx>
                <c:rich>
                  <a:bodyPr/>
                  <a:lstStyle/>
                  <a:p>
                    <a:r>
                      <a:rPr lang="en-US" sz="1200" b="1">
                        <a:latin typeface="Times New Roman" pitchFamily="18" charset="0"/>
                        <a:cs typeface="Times New Roman" pitchFamily="18" charset="0"/>
                      </a:rPr>
                      <a:t>5</a:t>
                    </a:r>
                    <a:endParaRPr lang="en-US"/>
                  </a:p>
                </c:rich>
              </c:tx>
              <c:showVal val="1"/>
            </c:dLbl>
            <c:dLbl>
              <c:idx val="4"/>
              <c:layout>
                <c:manualLayout>
                  <c:x val="2.0979020979021011E-2"/>
                  <c:y val="9.4594594594595918E-2"/>
                </c:manualLayout>
              </c:layout>
              <c:tx>
                <c:rich>
                  <a:bodyPr/>
                  <a:lstStyle/>
                  <a:p>
                    <a:r>
                      <a:rPr lang="en-US" sz="1200" b="1">
                        <a:latin typeface="Times New Roman" pitchFamily="18" charset="0"/>
                        <a:cs typeface="Times New Roman" pitchFamily="18" charset="0"/>
                      </a:rPr>
                      <a:t>7</a:t>
                    </a:r>
                    <a:endParaRPr lang="en-US"/>
                  </a:p>
                </c:rich>
              </c:tx>
              <c:showVal val="1"/>
            </c:dLbl>
            <c:spPr>
              <a:solidFill>
                <a:schemeClr val="lt1"/>
              </a:solidFill>
              <a:ln w="25400" cap="flat" cmpd="sng" algn="ctr">
                <a:solidFill>
                  <a:schemeClr val="dk1"/>
                </a:solidFill>
                <a:prstDash val="solid"/>
              </a:ln>
              <a:effectLst/>
            </c:spPr>
            <c:txPr>
              <a:bodyPr/>
              <a:lstStyle/>
              <a:p>
                <a:pPr>
                  <a:defRPr lang="uk-UA" sz="1200" b="1">
                    <a:solidFill>
                      <a:schemeClr val="dk1"/>
                    </a:solidFill>
                    <a:latin typeface="Times New Roman" pitchFamily="18" charset="0"/>
                    <a:ea typeface="+mn-ea"/>
                    <a:cs typeface="Times New Roman" pitchFamily="18" charset="0"/>
                  </a:defRPr>
                </a:pPr>
                <a:endParaRPr lang="ru-RU"/>
              </a:p>
            </c:txPr>
            <c:showVal val="1"/>
          </c:dLbls>
          <c:cat>
            <c:strRef>
              <c:f>Sheet1!$B$1:$F$1</c:f>
              <c:strCache>
                <c:ptCount val="5"/>
                <c:pt idx="0">
                  <c:v>abdominal pain </c:v>
                </c:pt>
                <c:pt idx="1">
                  <c:v>gastral reflux </c:v>
                </c:pt>
                <c:pt idx="2">
                  <c:v>diarrhea</c:v>
                </c:pt>
                <c:pt idx="3">
                  <c:v>constipation</c:v>
                </c:pt>
                <c:pt idx="4">
                  <c:v>dyspepsia</c:v>
                </c:pt>
              </c:strCache>
            </c:strRef>
          </c:cat>
          <c:val>
            <c:numRef>
              <c:f>Sheet1!$B$3:$F$3</c:f>
              <c:numCache>
                <c:formatCode>General</c:formatCode>
                <c:ptCount val="5"/>
                <c:pt idx="0">
                  <c:v>5.1099999999999985</c:v>
                </c:pt>
                <c:pt idx="1">
                  <c:v>6.07</c:v>
                </c:pt>
                <c:pt idx="2">
                  <c:v>4.96</c:v>
                </c:pt>
                <c:pt idx="3">
                  <c:v>5.1899999999999995</c:v>
                </c:pt>
                <c:pt idx="4">
                  <c:v>7.89</c:v>
                </c:pt>
              </c:numCache>
            </c:numRef>
          </c:val>
        </c:ser>
        <c:ser>
          <c:idx val="2"/>
          <c:order val="2"/>
          <c:tx>
            <c:strRef>
              <c:f>Sheet1!$A$4</c:f>
              <c:strCache>
                <c:ptCount val="1"/>
                <c:pt idx="0">
                  <c:v>3-rd group</c:v>
                </c:pt>
              </c:strCache>
            </c:strRef>
          </c:tx>
          <c:dLbls>
            <c:dLbl>
              <c:idx val="1"/>
              <c:layout>
                <c:manualLayout>
                  <c:x val="1.7897091722595078E-2"/>
                  <c:y val="3.4364261168384879E-3"/>
                </c:manualLayout>
              </c:layout>
              <c:showVal val="1"/>
            </c:dLbl>
            <c:dLbl>
              <c:idx val="2"/>
              <c:layout>
                <c:manualLayout>
                  <c:x val="0"/>
                  <c:y val="5.3621776659360876E-3"/>
                </c:manualLayout>
              </c:layout>
              <c:showVal val="1"/>
            </c:dLbl>
            <c:dLbl>
              <c:idx val="3"/>
              <c:layout>
                <c:manualLayout>
                  <c:x val="1.6494918001021684E-3"/>
                  <c:y val="0.10408122953702972"/>
                </c:manualLayout>
              </c:layout>
              <c:tx>
                <c:rich>
                  <a:bodyPr/>
                  <a:lstStyle/>
                  <a:p>
                    <a:r>
                      <a:rPr lang="en-US"/>
                      <a:t>5</a:t>
                    </a:r>
                  </a:p>
                </c:rich>
              </c:tx>
              <c:showVal val="1"/>
            </c:dLbl>
            <c:dLbl>
              <c:idx val="4"/>
              <c:layout>
                <c:manualLayout>
                  <c:x val="1.3422818791946341E-2"/>
                  <c:y val="5.4982817869416077E-2"/>
                </c:manualLayout>
              </c:layout>
              <c:tx>
                <c:rich>
                  <a:bodyPr/>
                  <a:lstStyle/>
                  <a:p>
                    <a:r>
                      <a:rPr lang="en-US"/>
                      <a:t>6</a:t>
                    </a:r>
                  </a:p>
                </c:rich>
              </c:tx>
              <c:showVal val="1"/>
            </c:dLbl>
            <c:spPr>
              <a:solidFill>
                <a:schemeClr val="lt1"/>
              </a:solidFill>
              <a:ln w="25400" cap="flat" cmpd="sng" algn="ctr">
                <a:solidFill>
                  <a:schemeClr val="dk1"/>
                </a:solidFill>
                <a:prstDash val="solid"/>
              </a:ln>
              <a:effectLst/>
            </c:spPr>
            <c:txPr>
              <a:bodyPr/>
              <a:lstStyle/>
              <a:p>
                <a:pPr>
                  <a:defRPr lang="uk-UA" sz="1200" b="1">
                    <a:solidFill>
                      <a:schemeClr val="dk1"/>
                    </a:solidFill>
                    <a:latin typeface="Times New Roman" pitchFamily="18" charset="0"/>
                    <a:ea typeface="+mn-ea"/>
                    <a:cs typeface="Times New Roman" pitchFamily="18" charset="0"/>
                  </a:defRPr>
                </a:pPr>
                <a:endParaRPr lang="ru-RU"/>
              </a:p>
            </c:txPr>
            <c:showVal val="1"/>
          </c:dLbls>
          <c:cat>
            <c:strRef>
              <c:f>Sheet1!$B$1:$F$1</c:f>
              <c:strCache>
                <c:ptCount val="5"/>
                <c:pt idx="0">
                  <c:v>abdominal pain </c:v>
                </c:pt>
                <c:pt idx="1">
                  <c:v>gastral reflux </c:v>
                </c:pt>
                <c:pt idx="2">
                  <c:v>diarrhea</c:v>
                </c:pt>
                <c:pt idx="3">
                  <c:v>constipation</c:v>
                </c:pt>
                <c:pt idx="4">
                  <c:v>dyspepsia</c:v>
                </c:pt>
              </c:strCache>
            </c:strRef>
          </c:cat>
          <c:val>
            <c:numRef>
              <c:f>Sheet1!$B$4:$F$4</c:f>
              <c:numCache>
                <c:formatCode>General</c:formatCode>
                <c:ptCount val="5"/>
                <c:pt idx="0">
                  <c:v>4</c:v>
                </c:pt>
                <c:pt idx="1">
                  <c:v>6</c:v>
                </c:pt>
                <c:pt idx="2">
                  <c:v>6</c:v>
                </c:pt>
                <c:pt idx="3">
                  <c:v>5.34</c:v>
                </c:pt>
                <c:pt idx="4">
                  <c:v>6.2</c:v>
                </c:pt>
              </c:numCache>
            </c:numRef>
          </c:val>
        </c:ser>
        <c:dLbls>
          <c:showVal val="1"/>
        </c:dLbls>
        <c:axId val="72141056"/>
        <c:axId val="72744960"/>
      </c:barChart>
      <c:catAx>
        <c:axId val="72141056"/>
        <c:scaling>
          <c:orientation val="minMax"/>
        </c:scaling>
        <c:axPos val="b"/>
        <c:numFmt formatCode="General" sourceLinked="1"/>
        <c:tickLblPos val="low"/>
        <c:txPr>
          <a:bodyPr rot="-2700000" vert="horz"/>
          <a:lstStyle/>
          <a:p>
            <a:pPr>
              <a:defRPr lang="uk-UA" b="1">
                <a:latin typeface="Times New Roman" pitchFamily="18" charset="0"/>
                <a:cs typeface="Times New Roman" pitchFamily="18" charset="0"/>
              </a:defRPr>
            </a:pPr>
            <a:endParaRPr lang="ru-RU"/>
          </a:p>
        </c:txPr>
        <c:crossAx val="72744960"/>
        <c:crosses val="autoZero"/>
        <c:auto val="1"/>
        <c:lblAlgn val="ctr"/>
        <c:lblOffset val="100"/>
        <c:tickLblSkip val="1"/>
        <c:tickMarkSkip val="1"/>
      </c:catAx>
      <c:valAx>
        <c:axId val="72744960"/>
        <c:scaling>
          <c:orientation val="minMax"/>
        </c:scaling>
        <c:delete val="1"/>
        <c:axPos val="r"/>
        <c:numFmt formatCode="General" sourceLinked="1"/>
        <c:tickLblPos val="none"/>
        <c:crossAx val="72141056"/>
        <c:crosses val="max"/>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0.26468206579917963"/>
          <c:y val="0"/>
          <c:w val="0.7028687426156327"/>
          <c:h val="0.65559866872311545"/>
        </c:manualLayout>
      </c:layout>
      <c:barChart>
        <c:barDir val="col"/>
        <c:grouping val="clustered"/>
        <c:ser>
          <c:idx val="0"/>
          <c:order val="0"/>
          <c:tx>
            <c:strRef>
              <c:f>Аркуш1!$B$1</c:f>
              <c:strCache>
                <c:ptCount val="1"/>
                <c:pt idx="0">
                  <c:v>1-st group</c:v>
                </c:pt>
              </c:strCache>
            </c:strRef>
          </c:tx>
          <c:dLbls>
            <c:dLbl>
              <c:idx val="0"/>
              <c:layout>
                <c:manualLayout>
                  <c:x val="-7.93064955960468E-2"/>
                  <c:y val="1.2808272597692493E-2"/>
                </c:manualLayout>
              </c:layout>
              <c:showVal val="1"/>
            </c:dLbl>
            <c:dLbl>
              <c:idx val="1"/>
              <c:layout>
                <c:manualLayout>
                  <c:x val="-2.7347067446912717E-3"/>
                  <c:y val="5.1233090390769946E-2"/>
                </c:manualLayout>
              </c:layout>
              <c:showVal val="1"/>
            </c:dLbl>
            <c:dLbl>
              <c:idx val="2"/>
              <c:layout>
                <c:manualLayout>
                  <c:x val="-1.452371323675168E-2"/>
                  <c:y val="1.9212327840463311E-2"/>
                </c:manualLayout>
              </c:layout>
              <c:showVal val="1"/>
            </c:dLbl>
            <c:dLbl>
              <c:idx val="3"/>
              <c:layout>
                <c:manualLayout>
                  <c:x val="4.9224721404442034E-2"/>
                  <c:y val="2.561654519538499E-2"/>
                </c:manualLayout>
              </c:layout>
              <c:showVal val="1"/>
            </c:dLbl>
            <c:spPr>
              <a:solidFill>
                <a:schemeClr val="lt1"/>
              </a:solidFill>
              <a:ln w="25400" cap="flat" cmpd="sng" algn="ctr">
                <a:solidFill>
                  <a:schemeClr val="dk1"/>
                </a:solidFill>
                <a:prstDash val="solid"/>
              </a:ln>
              <a:effectLst/>
            </c:spPr>
            <c:txPr>
              <a:bodyPr/>
              <a:lstStyle/>
              <a:p>
                <a:pPr>
                  <a:defRPr lang="uk-UA" sz="1100" b="1">
                    <a:solidFill>
                      <a:schemeClr val="dk1"/>
                    </a:solidFill>
                    <a:latin typeface="Times New Roman" pitchFamily="18" charset="0"/>
                    <a:ea typeface="+mn-ea"/>
                    <a:cs typeface="Times New Roman" pitchFamily="18" charset="0"/>
                  </a:defRPr>
                </a:pPr>
                <a:endParaRPr lang="ru-RU"/>
              </a:p>
            </c:txPr>
            <c:showVal val="1"/>
          </c:dLbls>
          <c:cat>
            <c:strRef>
              <c:f>Аркуш1!$A$2:$A$5</c:f>
              <c:strCache>
                <c:ptCount val="4"/>
                <c:pt idx="0">
                  <c:v>role functioning </c:v>
                </c:pt>
                <c:pt idx="1">
                  <c:v>physical functioning </c:v>
                </c:pt>
                <c:pt idx="2">
                  <c:v>pain intensity</c:v>
                </c:pt>
                <c:pt idx="3">
                  <c:v>general health </c:v>
                </c:pt>
              </c:strCache>
            </c:strRef>
          </c:cat>
          <c:val>
            <c:numRef>
              <c:f>Аркуш1!$B$2:$B$5</c:f>
              <c:numCache>
                <c:formatCode>General</c:formatCode>
                <c:ptCount val="4"/>
                <c:pt idx="0">
                  <c:v>45</c:v>
                </c:pt>
                <c:pt idx="1">
                  <c:v>41</c:v>
                </c:pt>
                <c:pt idx="2">
                  <c:v>39</c:v>
                </c:pt>
                <c:pt idx="3">
                  <c:v>43</c:v>
                </c:pt>
              </c:numCache>
            </c:numRef>
          </c:val>
        </c:ser>
        <c:ser>
          <c:idx val="1"/>
          <c:order val="1"/>
          <c:tx>
            <c:strRef>
              <c:f>Аркуш1!$C$1</c:f>
              <c:strCache>
                <c:ptCount val="1"/>
                <c:pt idx="0">
                  <c:v>2-nd group</c:v>
                </c:pt>
              </c:strCache>
            </c:strRef>
          </c:tx>
          <c:dLbls>
            <c:dLbl>
              <c:idx val="0"/>
              <c:layout>
                <c:manualLayout>
                  <c:x val="-3.5994322461958182E-2"/>
                  <c:y val="2.0618556701030927E-2"/>
                </c:manualLayout>
              </c:layout>
              <c:showVal val="1"/>
            </c:dLbl>
            <c:dLbl>
              <c:idx val="1"/>
              <c:layout>
                <c:manualLayout>
                  <c:x val="-2.4612360702221052E-2"/>
                  <c:y val="0"/>
                </c:manualLayout>
              </c:layout>
              <c:showVal val="1"/>
            </c:dLbl>
            <c:dLbl>
              <c:idx val="2"/>
              <c:layout>
                <c:manualLayout>
                  <c:x val="5.4694134893826006E-3"/>
                  <c:y val="-2.7751257295000411E-2"/>
                </c:manualLayout>
              </c:layout>
              <c:showVal val="1"/>
            </c:dLbl>
            <c:dLbl>
              <c:idx val="3"/>
              <c:layout>
                <c:manualLayout>
                  <c:x val="-3.2225579053373761E-2"/>
                  <c:y val="-4.9219076319665818E-19"/>
                </c:manualLayout>
              </c:layout>
              <c:showVal val="1"/>
            </c:dLbl>
            <c:spPr>
              <a:solidFill>
                <a:schemeClr val="lt1"/>
              </a:solidFill>
              <a:ln w="25400" cap="flat" cmpd="sng" algn="ctr">
                <a:solidFill>
                  <a:schemeClr val="dk1"/>
                </a:solidFill>
                <a:prstDash val="solid"/>
              </a:ln>
              <a:effectLst/>
            </c:spPr>
            <c:txPr>
              <a:bodyPr/>
              <a:lstStyle/>
              <a:p>
                <a:pPr>
                  <a:defRPr lang="uk-UA" sz="1100" b="1">
                    <a:solidFill>
                      <a:schemeClr val="dk1"/>
                    </a:solidFill>
                    <a:latin typeface="Times New Roman" pitchFamily="18" charset="0"/>
                    <a:ea typeface="+mn-ea"/>
                    <a:cs typeface="Times New Roman" pitchFamily="18" charset="0"/>
                  </a:defRPr>
                </a:pPr>
                <a:endParaRPr lang="ru-RU"/>
              </a:p>
            </c:txPr>
            <c:showVal val="1"/>
          </c:dLbls>
          <c:cat>
            <c:strRef>
              <c:f>Аркуш1!$A$2:$A$5</c:f>
              <c:strCache>
                <c:ptCount val="4"/>
                <c:pt idx="0">
                  <c:v>role functioning </c:v>
                </c:pt>
                <c:pt idx="1">
                  <c:v>physical functioning </c:v>
                </c:pt>
                <c:pt idx="2">
                  <c:v>pain intensity</c:v>
                </c:pt>
                <c:pt idx="3">
                  <c:v>general health </c:v>
                </c:pt>
              </c:strCache>
            </c:strRef>
          </c:cat>
          <c:val>
            <c:numRef>
              <c:f>Аркуш1!$C$2:$C$5</c:f>
              <c:numCache>
                <c:formatCode>General</c:formatCode>
                <c:ptCount val="4"/>
                <c:pt idx="0">
                  <c:v>53</c:v>
                </c:pt>
                <c:pt idx="1">
                  <c:v>48</c:v>
                </c:pt>
                <c:pt idx="2">
                  <c:v>44</c:v>
                </c:pt>
                <c:pt idx="3">
                  <c:v>54</c:v>
                </c:pt>
              </c:numCache>
            </c:numRef>
          </c:val>
        </c:ser>
        <c:ser>
          <c:idx val="2"/>
          <c:order val="2"/>
          <c:tx>
            <c:strRef>
              <c:f>Аркуш1!$D$1</c:f>
              <c:strCache>
                <c:ptCount val="1"/>
                <c:pt idx="0">
                  <c:v>3-rd group</c:v>
                </c:pt>
              </c:strCache>
            </c:strRef>
          </c:tx>
          <c:dLbls>
            <c:dLbl>
              <c:idx val="2"/>
              <c:layout>
                <c:manualLayout>
                  <c:x val="1.2084592145015121E-2"/>
                  <c:y val="4.8109965635738827E-2"/>
                </c:manualLayout>
              </c:layout>
              <c:showVal val="1"/>
            </c:dLbl>
            <c:dLbl>
              <c:idx val="3"/>
              <c:layout>
                <c:manualLayout>
                  <c:x val="1.6112789526686811E-2"/>
                  <c:y val="0"/>
                </c:manualLayout>
              </c:layout>
              <c:showVal val="1"/>
            </c:dLbl>
            <c:spPr>
              <a:solidFill>
                <a:schemeClr val="lt1"/>
              </a:solidFill>
              <a:ln w="25400" cap="flat" cmpd="sng" algn="ctr">
                <a:solidFill>
                  <a:schemeClr val="dk1"/>
                </a:solidFill>
                <a:prstDash val="solid"/>
              </a:ln>
              <a:effectLst/>
            </c:spPr>
            <c:txPr>
              <a:bodyPr/>
              <a:lstStyle/>
              <a:p>
                <a:pPr>
                  <a:defRPr lang="uk-UA" sz="1100" b="1">
                    <a:solidFill>
                      <a:schemeClr val="dk1"/>
                    </a:solidFill>
                    <a:latin typeface="Times New Roman" pitchFamily="18" charset="0"/>
                    <a:ea typeface="+mn-ea"/>
                    <a:cs typeface="Times New Roman" pitchFamily="18" charset="0"/>
                  </a:defRPr>
                </a:pPr>
                <a:endParaRPr lang="ru-RU"/>
              </a:p>
            </c:txPr>
            <c:showVal val="1"/>
          </c:dLbls>
          <c:cat>
            <c:strRef>
              <c:f>Аркуш1!$A$2:$A$5</c:f>
              <c:strCache>
                <c:ptCount val="4"/>
                <c:pt idx="0">
                  <c:v>role functioning </c:v>
                </c:pt>
                <c:pt idx="1">
                  <c:v>physical functioning </c:v>
                </c:pt>
                <c:pt idx="2">
                  <c:v>pain intensity</c:v>
                </c:pt>
                <c:pt idx="3">
                  <c:v>general health </c:v>
                </c:pt>
              </c:strCache>
            </c:strRef>
          </c:cat>
          <c:val>
            <c:numRef>
              <c:f>Аркуш1!$D$2:$D$5</c:f>
              <c:numCache>
                <c:formatCode>General</c:formatCode>
                <c:ptCount val="4"/>
                <c:pt idx="0">
                  <c:v>52</c:v>
                </c:pt>
                <c:pt idx="1">
                  <c:v>49</c:v>
                </c:pt>
                <c:pt idx="2">
                  <c:v>44</c:v>
                </c:pt>
                <c:pt idx="3">
                  <c:v>56</c:v>
                </c:pt>
              </c:numCache>
            </c:numRef>
          </c:val>
        </c:ser>
        <c:axId val="73276800"/>
        <c:axId val="73324416"/>
      </c:barChart>
      <c:catAx>
        <c:axId val="73276800"/>
        <c:scaling>
          <c:orientation val="minMax"/>
        </c:scaling>
        <c:axPos val="b"/>
        <c:tickLblPos val="nextTo"/>
        <c:txPr>
          <a:bodyPr/>
          <a:lstStyle/>
          <a:p>
            <a:pPr>
              <a:defRPr lang="uk-UA" b="1">
                <a:latin typeface="Times New Roman" pitchFamily="18" charset="0"/>
                <a:cs typeface="Times New Roman" pitchFamily="18" charset="0"/>
              </a:defRPr>
            </a:pPr>
            <a:endParaRPr lang="ru-RU"/>
          </a:p>
        </c:txPr>
        <c:crossAx val="73324416"/>
        <c:crosses val="autoZero"/>
        <c:auto val="1"/>
        <c:lblAlgn val="ctr"/>
        <c:lblOffset val="100"/>
      </c:catAx>
      <c:valAx>
        <c:axId val="73324416"/>
        <c:scaling>
          <c:orientation val="minMax"/>
        </c:scaling>
        <c:delete val="1"/>
        <c:axPos val="l"/>
        <c:numFmt formatCode="General" sourceLinked="1"/>
        <c:tickLblPos val="none"/>
        <c:crossAx val="73276800"/>
        <c:crosses val="autoZero"/>
        <c:crossBetween val="between"/>
      </c:valAx>
    </c:plotArea>
    <c:legend>
      <c:legendPos val="l"/>
      <c:layout>
        <c:manualLayout>
          <c:xMode val="edge"/>
          <c:yMode val="edge"/>
          <c:x val="2.4169184290029979E-2"/>
          <c:y val="0.31455610574451714"/>
          <c:w val="0.27632419059400243"/>
          <c:h val="0.17488838379738714"/>
        </c:manualLayout>
      </c:layout>
      <c:txPr>
        <a:bodyPr/>
        <a:lstStyle/>
        <a:p>
          <a:pPr>
            <a:defRPr lang="uk-UA" b="1">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224C-89AD-4792-BF19-9E1AC342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dc:creator>
  <cp:keywords/>
  <dc:description/>
  <cp:lastModifiedBy>Eka</cp:lastModifiedBy>
  <cp:revision>28</cp:revision>
  <dcterms:created xsi:type="dcterms:W3CDTF">2013-01-10T07:36:00Z</dcterms:created>
  <dcterms:modified xsi:type="dcterms:W3CDTF">2014-04-22T15:00:00Z</dcterms:modified>
</cp:coreProperties>
</file>